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59DF4" w14:textId="7CCC7C1A" w:rsidR="00A611C6" w:rsidRPr="007219ED" w:rsidRDefault="00A611C6" w:rsidP="00F35928">
      <w:pPr>
        <w:pStyle w:val="CRCoverPage"/>
        <w:tabs>
          <w:tab w:val="right" w:pos="9639"/>
        </w:tabs>
        <w:spacing w:after="0"/>
        <w:rPr>
          <w:b/>
          <w:i/>
          <w:noProof/>
          <w:sz w:val="24"/>
          <w:szCs w:val="28"/>
        </w:rPr>
      </w:pPr>
      <w:r>
        <w:rPr>
          <w:b/>
          <w:noProof/>
          <w:sz w:val="24"/>
          <w:szCs w:val="28"/>
        </w:rPr>
        <w:t>3GPP TSG-RAN WG3 Meeting #108-e</w:t>
      </w:r>
      <w:r>
        <w:rPr>
          <w:b/>
          <w:i/>
          <w:noProof/>
          <w:sz w:val="24"/>
          <w:szCs w:val="28"/>
        </w:rPr>
        <w:tab/>
      </w:r>
      <w:r w:rsidRPr="007219ED">
        <w:rPr>
          <w:b/>
          <w:noProof/>
          <w:sz w:val="28"/>
          <w:szCs w:val="28"/>
        </w:rPr>
        <w:t>R3-20</w:t>
      </w:r>
      <w:r w:rsidR="007219ED" w:rsidRPr="007219ED">
        <w:rPr>
          <w:b/>
          <w:noProof/>
          <w:sz w:val="28"/>
          <w:szCs w:val="28"/>
        </w:rPr>
        <w:t>3946</w:t>
      </w:r>
    </w:p>
    <w:p w14:paraId="55D95F3F" w14:textId="6E726D21" w:rsidR="00A611C6" w:rsidRDefault="00A611C6" w:rsidP="00F35928">
      <w:pPr>
        <w:pStyle w:val="CRCoverPage"/>
        <w:outlineLvl w:val="0"/>
        <w:rPr>
          <w:b/>
          <w:noProof/>
          <w:sz w:val="24"/>
          <w:szCs w:val="28"/>
        </w:rPr>
      </w:pPr>
      <w:r w:rsidRPr="007219ED">
        <w:rPr>
          <w:b/>
          <w:noProof/>
          <w:sz w:val="24"/>
          <w:szCs w:val="28"/>
        </w:rPr>
        <w:t>June 1</w:t>
      </w:r>
      <w:r w:rsidRPr="007219ED">
        <w:rPr>
          <w:b/>
          <w:noProof/>
          <w:sz w:val="24"/>
          <w:szCs w:val="28"/>
          <w:vertAlign w:val="superscript"/>
        </w:rPr>
        <w:t>st</w:t>
      </w:r>
      <w:r w:rsidRPr="007219ED">
        <w:rPr>
          <w:b/>
          <w:noProof/>
          <w:sz w:val="24"/>
          <w:szCs w:val="28"/>
        </w:rPr>
        <w:t xml:space="preserve"> – 1</w:t>
      </w:r>
      <w:r w:rsidR="0064361D" w:rsidRPr="007219ED">
        <w:rPr>
          <w:b/>
          <w:noProof/>
          <w:sz w:val="24"/>
          <w:szCs w:val="28"/>
        </w:rPr>
        <w:t>1</w:t>
      </w:r>
      <w:r w:rsidRPr="007219ED">
        <w:rPr>
          <w:b/>
          <w:noProof/>
          <w:sz w:val="24"/>
          <w:szCs w:val="28"/>
          <w:vertAlign w:val="superscript"/>
        </w:rPr>
        <w:t>th</w:t>
      </w:r>
      <w:r w:rsidRPr="007219ED">
        <w:rPr>
          <w:b/>
          <w:noProof/>
          <w:sz w:val="24"/>
          <w:szCs w:val="28"/>
        </w:rPr>
        <w:t xml:space="preserve"> 2020</w:t>
      </w:r>
      <w:r w:rsidR="00142675" w:rsidRPr="007219ED">
        <w:rPr>
          <w:b/>
          <w:noProof/>
          <w:sz w:val="24"/>
          <w:szCs w:val="28"/>
        </w:rPr>
        <w:t>, Online</w:t>
      </w:r>
    </w:p>
    <w:p w14:paraId="1445F1FA" w14:textId="77777777" w:rsidR="00F35928" w:rsidRDefault="00F35928" w:rsidP="00F35928">
      <w:pPr>
        <w:pStyle w:val="3GPPHeader"/>
        <w:jc w:val="left"/>
        <w:rPr>
          <w:rFonts w:asciiTheme="minorHAnsi" w:hAnsiTheme="minorHAnsi" w:cstheme="minorHAnsi"/>
          <w:szCs w:val="26"/>
          <w:lang w:val="en-US"/>
        </w:rPr>
      </w:pPr>
    </w:p>
    <w:p w14:paraId="553BE069" w14:textId="50DB9DEA" w:rsidR="007060C7" w:rsidRPr="00C51201" w:rsidRDefault="007060C7" w:rsidP="00F35928">
      <w:pPr>
        <w:pStyle w:val="3GPPHeader"/>
        <w:jc w:val="left"/>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w:t>
      </w:r>
      <w:r w:rsidR="00B3744A">
        <w:rPr>
          <w:rFonts w:asciiTheme="minorHAnsi" w:hAnsiTheme="minorHAnsi" w:cstheme="minorHAnsi"/>
          <w:szCs w:val="26"/>
          <w:lang w:val="en-US"/>
        </w:rPr>
        <w:t>3.2.2</w:t>
      </w:r>
    </w:p>
    <w:p w14:paraId="751D0C02" w14:textId="77777777" w:rsidR="007060C7" w:rsidRPr="00C51201" w:rsidRDefault="007060C7" w:rsidP="00F35928">
      <w:pPr>
        <w:pStyle w:val="3GPPHeader"/>
        <w:jc w:val="left"/>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56365828" w:rsidR="006950C8" w:rsidRPr="00C51201" w:rsidRDefault="007060C7" w:rsidP="00F35928">
      <w:pPr>
        <w:pStyle w:val="3GPPHeader"/>
        <w:ind w:left="1701" w:hanging="1701"/>
        <w:jc w:val="left"/>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B3744A">
        <w:rPr>
          <w:rFonts w:asciiTheme="minorHAnsi" w:hAnsiTheme="minorHAnsi" w:cstheme="minorHAnsi"/>
          <w:szCs w:val="22"/>
        </w:rPr>
        <w:t>Response to: R3-</w:t>
      </w:r>
      <w:r w:rsidR="007A5A67">
        <w:rPr>
          <w:rFonts w:asciiTheme="minorHAnsi" w:hAnsiTheme="minorHAnsi" w:cstheme="minorHAnsi"/>
          <w:szCs w:val="22"/>
        </w:rPr>
        <w:t xml:space="preserve">203525, R3-203844-5, </w:t>
      </w:r>
      <w:r w:rsidR="0040076C">
        <w:rPr>
          <w:rFonts w:asciiTheme="minorHAnsi" w:hAnsiTheme="minorHAnsi" w:cstheme="minorHAnsi"/>
          <w:szCs w:val="22"/>
        </w:rPr>
        <w:t>R3-203617-8,</w:t>
      </w:r>
      <w:r w:rsidR="00D521BE">
        <w:rPr>
          <w:rFonts w:asciiTheme="minorHAnsi" w:hAnsiTheme="minorHAnsi" w:cstheme="minorHAnsi"/>
          <w:szCs w:val="22"/>
        </w:rPr>
        <w:t xml:space="preserve"> R3-203155-6, </w:t>
      </w:r>
      <w:r w:rsidR="003A0790">
        <w:rPr>
          <w:rFonts w:asciiTheme="minorHAnsi" w:hAnsiTheme="minorHAnsi" w:cstheme="minorHAnsi"/>
          <w:szCs w:val="22"/>
        </w:rPr>
        <w:t>R3-203916, R3-203343, R3-203612</w:t>
      </w:r>
      <w:r w:rsidR="000C7EB4">
        <w:rPr>
          <w:rFonts w:asciiTheme="minorHAnsi" w:hAnsiTheme="minorHAnsi" w:cstheme="minorHAnsi"/>
          <w:szCs w:val="22"/>
        </w:rPr>
        <w:t>, R3-203151-2</w:t>
      </w:r>
    </w:p>
    <w:p w14:paraId="430E5797" w14:textId="4F468544" w:rsidR="007060C7" w:rsidRDefault="007060C7" w:rsidP="00F35928">
      <w:pPr>
        <w:pStyle w:val="3GPPHeader"/>
        <w:jc w:val="left"/>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F35928">
      <w:pPr>
        <w:pStyle w:val="Heading1"/>
        <w:rPr>
          <w:rFonts w:ascii="Calibri" w:hAnsi="Calibri" w:cs="Calibri"/>
          <w:sz w:val="40"/>
          <w:szCs w:val="40"/>
        </w:rPr>
      </w:pPr>
      <w:r>
        <w:rPr>
          <w:rFonts w:ascii="Calibri" w:hAnsi="Calibri" w:cs="Calibri"/>
          <w:sz w:val="40"/>
          <w:szCs w:val="40"/>
        </w:rPr>
        <w:t>Introduction</w:t>
      </w:r>
    </w:p>
    <w:p w14:paraId="2A5BB9CB" w14:textId="44F49A2D" w:rsidR="003951B4" w:rsidRDefault="00EE355A" w:rsidP="00F35928">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At the RAN</w:t>
      </w:r>
      <w:r w:rsidR="00BE02DE">
        <w:rPr>
          <w:rFonts w:asciiTheme="minorHAnsi" w:hAnsiTheme="minorHAnsi" w:cstheme="minorHAnsi"/>
          <w:b w:val="0"/>
          <w:bCs/>
          <w:sz w:val="22"/>
          <w:szCs w:val="24"/>
          <w:lang w:val="en-US"/>
        </w:rPr>
        <w:t>3</w:t>
      </w:r>
      <w:r>
        <w:rPr>
          <w:rFonts w:asciiTheme="minorHAnsi" w:hAnsiTheme="minorHAnsi" w:cstheme="minorHAnsi"/>
          <w:b w:val="0"/>
          <w:bCs/>
          <w:sz w:val="22"/>
          <w:szCs w:val="24"/>
          <w:lang w:val="en-US"/>
        </w:rPr>
        <w:t>#107bis-e meeting, the following</w:t>
      </w:r>
      <w:r w:rsidR="001412BC">
        <w:rPr>
          <w:rFonts w:asciiTheme="minorHAnsi" w:hAnsiTheme="minorHAnsi" w:cstheme="minorHAnsi"/>
          <w:b w:val="0"/>
          <w:bCs/>
          <w:sz w:val="22"/>
          <w:szCs w:val="24"/>
          <w:lang w:val="en-US"/>
        </w:rPr>
        <w:t xml:space="preserve"> working assumptions </w:t>
      </w:r>
      <w:r w:rsidR="00295421">
        <w:rPr>
          <w:rFonts w:asciiTheme="minorHAnsi" w:hAnsiTheme="minorHAnsi" w:cstheme="minorHAnsi"/>
          <w:b w:val="0"/>
          <w:bCs/>
          <w:sz w:val="22"/>
          <w:szCs w:val="24"/>
          <w:lang w:val="en-US"/>
        </w:rPr>
        <w:t xml:space="preserve">(WAs) </w:t>
      </w:r>
      <w:r w:rsidR="00BE02DE">
        <w:rPr>
          <w:rFonts w:asciiTheme="minorHAnsi" w:hAnsiTheme="minorHAnsi" w:cstheme="minorHAnsi"/>
          <w:b w:val="0"/>
          <w:bCs/>
          <w:sz w:val="22"/>
          <w:szCs w:val="24"/>
          <w:lang w:val="en-US"/>
        </w:rPr>
        <w:t>were</w:t>
      </w:r>
      <w:r w:rsidR="001412BC">
        <w:rPr>
          <w:rFonts w:asciiTheme="minorHAnsi" w:hAnsiTheme="minorHAnsi" w:cstheme="minorHAnsi"/>
          <w:b w:val="0"/>
          <w:bCs/>
          <w:sz w:val="22"/>
          <w:szCs w:val="24"/>
          <w:lang w:val="en-US"/>
        </w:rPr>
        <w:t xml:space="preserve"> taken:</w:t>
      </w:r>
    </w:p>
    <w:p w14:paraId="7D34ECE7" w14:textId="58C502E3" w:rsidR="00101CDD" w:rsidRPr="00295421" w:rsidRDefault="00101CDD" w:rsidP="00F35928">
      <w:pPr>
        <w:pStyle w:val="ListParagraph"/>
        <w:numPr>
          <w:ilvl w:val="0"/>
          <w:numId w:val="40"/>
        </w:numPr>
        <w:spacing w:after="0"/>
        <w:jc w:val="left"/>
        <w:rPr>
          <w:rFonts w:ascii="Calibri" w:hAnsi="Calibri" w:cs="Calibri"/>
          <w:color w:val="00B050"/>
          <w:sz w:val="16"/>
          <w:szCs w:val="16"/>
        </w:rPr>
      </w:pPr>
      <w:r w:rsidRPr="00295421">
        <w:rPr>
          <w:rFonts w:ascii="Calibri" w:hAnsi="Calibri" w:cs="Calibri"/>
          <w:color w:val="00B050"/>
          <w:sz w:val="16"/>
          <w:szCs w:val="16"/>
        </w:rPr>
        <w:t>WA: 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w:t>
      </w:r>
    </w:p>
    <w:p w14:paraId="15947EFB" w14:textId="77777777" w:rsidR="00265F81" w:rsidRPr="00295421" w:rsidRDefault="00265F81" w:rsidP="00F35928">
      <w:pPr>
        <w:pStyle w:val="ListParagraph"/>
        <w:numPr>
          <w:ilvl w:val="0"/>
          <w:numId w:val="40"/>
        </w:numPr>
        <w:spacing w:after="0"/>
        <w:jc w:val="left"/>
        <w:rPr>
          <w:rFonts w:ascii="Calibri" w:hAnsi="Calibri" w:cs="Calibri"/>
          <w:color w:val="00B050"/>
          <w:sz w:val="16"/>
          <w:szCs w:val="16"/>
        </w:rPr>
      </w:pPr>
      <w:r w:rsidRPr="00295421">
        <w:rPr>
          <w:rFonts w:ascii="Calibri" w:hAnsi="Calibri" w:cs="Calibri"/>
          <w:color w:val="00B050"/>
          <w:sz w:val="16"/>
          <w:szCs w:val="16"/>
        </w:rPr>
        <w:t>WA: A new class-1 non-UE associated E1AP procedure is defined for donor-CU-CP to inform donor-CU-UP to update the DL UP TNL Information for multiple UEs and child IAB-MTs.</w:t>
      </w:r>
    </w:p>
    <w:p w14:paraId="190CA7F7" w14:textId="0C8A920A" w:rsidR="00265F81" w:rsidRPr="00295421" w:rsidRDefault="00265F81" w:rsidP="00F35928">
      <w:pPr>
        <w:pStyle w:val="ListParagraph"/>
        <w:numPr>
          <w:ilvl w:val="0"/>
          <w:numId w:val="40"/>
        </w:numPr>
        <w:spacing w:after="0"/>
        <w:jc w:val="left"/>
        <w:rPr>
          <w:rFonts w:ascii="Calibri" w:hAnsi="Calibri" w:cs="Calibri"/>
          <w:color w:val="00B050"/>
          <w:sz w:val="16"/>
          <w:szCs w:val="16"/>
        </w:rPr>
      </w:pPr>
      <w:r w:rsidRPr="00295421">
        <w:rPr>
          <w:rFonts w:ascii="Calibri" w:hAnsi="Calibri" w:cs="Calibri"/>
          <w:color w:val="00B050"/>
          <w:sz w:val="16"/>
          <w:szCs w:val="16"/>
        </w:rPr>
        <w:t>WA: A new class-1 non-UE-associated F1AP procedure is defined for donor-CU-CP to inform IAB-DU to update UL FTEID, UL BH Info and DL FTEID for UP traffic</w:t>
      </w:r>
    </w:p>
    <w:p w14:paraId="3B113AF0" w14:textId="1F0ED099" w:rsidR="00265F81" w:rsidRDefault="00265F81" w:rsidP="00F35928">
      <w:pPr>
        <w:spacing w:after="0"/>
        <w:jc w:val="left"/>
        <w:rPr>
          <w:rFonts w:ascii="Calibri" w:hAnsi="Calibri" w:cs="Calibri"/>
          <w:color w:val="00B050"/>
          <w:sz w:val="16"/>
          <w:szCs w:val="16"/>
        </w:rPr>
      </w:pPr>
    </w:p>
    <w:p w14:paraId="16653508" w14:textId="0FD6BF9C" w:rsidR="00265F81" w:rsidRPr="00265F81" w:rsidRDefault="00265F81" w:rsidP="00F35928">
      <w:pPr>
        <w:spacing w:after="0"/>
        <w:jc w:val="left"/>
        <w:rPr>
          <w:rFonts w:ascii="Calibri" w:hAnsi="Calibri" w:cs="Calibri"/>
          <w:sz w:val="22"/>
          <w:szCs w:val="22"/>
        </w:rPr>
      </w:pPr>
      <w:r w:rsidRPr="00265F81">
        <w:rPr>
          <w:rFonts w:ascii="Calibri" w:hAnsi="Calibri" w:cs="Calibri"/>
          <w:sz w:val="22"/>
          <w:szCs w:val="22"/>
        </w:rPr>
        <w:t>This</w:t>
      </w:r>
      <w:r>
        <w:rPr>
          <w:rFonts w:ascii="Calibri" w:hAnsi="Calibri" w:cs="Calibri"/>
          <w:sz w:val="22"/>
          <w:szCs w:val="22"/>
        </w:rPr>
        <w:t xml:space="preserve"> paper discusses the consequences in case the above WAs are turned into agreements.</w:t>
      </w:r>
    </w:p>
    <w:p w14:paraId="3109F9C9" w14:textId="4ECBCABF" w:rsidR="00E90E49" w:rsidRDefault="00F013D2" w:rsidP="00F35928">
      <w:pPr>
        <w:pStyle w:val="Heading1"/>
        <w:rPr>
          <w:rFonts w:ascii="Calibri" w:hAnsi="Calibri" w:cs="Calibri"/>
          <w:sz w:val="40"/>
          <w:szCs w:val="40"/>
        </w:rPr>
      </w:pPr>
      <w:r>
        <w:rPr>
          <w:rFonts w:ascii="Calibri" w:hAnsi="Calibri" w:cs="Calibri"/>
          <w:sz w:val="40"/>
          <w:szCs w:val="40"/>
        </w:rPr>
        <w:t>Discussion</w:t>
      </w:r>
    </w:p>
    <w:p w14:paraId="775F8E44" w14:textId="1A890F76" w:rsidR="00265F81" w:rsidRDefault="00A75B4E" w:rsidP="00F35928">
      <w:pPr>
        <w:pStyle w:val="BodyText"/>
        <w:jc w:val="left"/>
        <w:rPr>
          <w:rFonts w:ascii="Calibri" w:hAnsi="Calibri" w:cs="Calibri"/>
          <w:sz w:val="22"/>
          <w:szCs w:val="22"/>
        </w:rPr>
      </w:pPr>
      <w:bookmarkStart w:id="0" w:name="_Hlk40773670"/>
      <w:r w:rsidRPr="00802920">
        <w:rPr>
          <w:rFonts w:ascii="Calibri" w:hAnsi="Calibri" w:cs="Calibri"/>
          <w:sz w:val="22"/>
          <w:szCs w:val="22"/>
        </w:rPr>
        <w:t>Th</w:t>
      </w:r>
      <w:r w:rsidR="009D0C5A" w:rsidRPr="00802920">
        <w:rPr>
          <w:rFonts w:ascii="Calibri" w:hAnsi="Calibri" w:cs="Calibri"/>
          <w:sz w:val="22"/>
          <w:szCs w:val="22"/>
        </w:rPr>
        <w:t xml:space="preserve">e </w:t>
      </w:r>
      <w:r w:rsidR="00C5392E">
        <w:rPr>
          <w:rFonts w:ascii="Calibri" w:hAnsi="Calibri" w:cs="Calibri"/>
          <w:sz w:val="22"/>
          <w:szCs w:val="22"/>
        </w:rPr>
        <w:t xml:space="preserve">common denominator of the above </w:t>
      </w:r>
      <w:r w:rsidR="00671A77" w:rsidRPr="00802920">
        <w:rPr>
          <w:rFonts w:ascii="Calibri" w:hAnsi="Calibri" w:cs="Calibri"/>
          <w:sz w:val="22"/>
          <w:szCs w:val="22"/>
        </w:rPr>
        <w:t>WA</w:t>
      </w:r>
      <w:r w:rsidR="00C5392E">
        <w:rPr>
          <w:rFonts w:ascii="Calibri" w:hAnsi="Calibri" w:cs="Calibri"/>
          <w:sz w:val="22"/>
          <w:szCs w:val="22"/>
        </w:rPr>
        <w:t xml:space="preserve">s is that NUA </w:t>
      </w:r>
      <w:r w:rsidR="000E1395">
        <w:rPr>
          <w:rFonts w:ascii="Calibri" w:hAnsi="Calibri" w:cs="Calibri"/>
          <w:sz w:val="22"/>
          <w:szCs w:val="22"/>
        </w:rPr>
        <w:t xml:space="preserve">(F1AP and E1AP) </w:t>
      </w:r>
      <w:r w:rsidR="00C5392E">
        <w:rPr>
          <w:rFonts w:ascii="Calibri" w:hAnsi="Calibri" w:cs="Calibri"/>
          <w:sz w:val="22"/>
          <w:szCs w:val="22"/>
        </w:rPr>
        <w:t>signalling</w:t>
      </w:r>
      <w:r w:rsidR="00802920">
        <w:rPr>
          <w:rFonts w:ascii="Calibri" w:hAnsi="Calibri" w:cs="Calibri"/>
          <w:sz w:val="22"/>
          <w:szCs w:val="22"/>
        </w:rPr>
        <w:t xml:space="preserve"> </w:t>
      </w:r>
      <w:r w:rsidR="000E1395">
        <w:rPr>
          <w:rFonts w:ascii="Calibri" w:hAnsi="Calibri" w:cs="Calibri"/>
          <w:sz w:val="22"/>
          <w:szCs w:val="22"/>
        </w:rPr>
        <w:t>is used to (re)configure parameters that should</w:t>
      </w:r>
      <w:r w:rsidR="00E055D5">
        <w:rPr>
          <w:rFonts w:ascii="Calibri" w:hAnsi="Calibri" w:cs="Calibri"/>
          <w:sz w:val="22"/>
          <w:szCs w:val="22"/>
        </w:rPr>
        <w:t xml:space="preserve"> be</w:t>
      </w:r>
      <w:r w:rsidR="00273479">
        <w:rPr>
          <w:rFonts w:ascii="Calibri" w:hAnsi="Calibri" w:cs="Calibri"/>
          <w:sz w:val="22"/>
          <w:szCs w:val="22"/>
        </w:rPr>
        <w:t xml:space="preserve">, </w:t>
      </w:r>
      <w:r w:rsidR="00E055D5">
        <w:rPr>
          <w:rFonts w:ascii="Calibri" w:hAnsi="Calibri" w:cs="Calibri"/>
          <w:sz w:val="22"/>
          <w:szCs w:val="22"/>
        </w:rPr>
        <w:t xml:space="preserve">or are even today, </w:t>
      </w:r>
      <w:r w:rsidR="008F114C">
        <w:rPr>
          <w:rFonts w:ascii="Calibri" w:hAnsi="Calibri" w:cs="Calibri"/>
          <w:sz w:val="22"/>
          <w:szCs w:val="22"/>
        </w:rPr>
        <w:t>(</w:t>
      </w:r>
      <w:r w:rsidR="000E1395">
        <w:rPr>
          <w:rFonts w:ascii="Calibri" w:hAnsi="Calibri" w:cs="Calibri"/>
          <w:sz w:val="22"/>
          <w:szCs w:val="22"/>
        </w:rPr>
        <w:t>re</w:t>
      </w:r>
      <w:r w:rsidR="008F114C">
        <w:rPr>
          <w:rFonts w:ascii="Calibri" w:hAnsi="Calibri" w:cs="Calibri"/>
          <w:sz w:val="22"/>
          <w:szCs w:val="22"/>
        </w:rPr>
        <w:t>)</w:t>
      </w:r>
      <w:r w:rsidR="000E1395">
        <w:rPr>
          <w:rFonts w:ascii="Calibri" w:hAnsi="Calibri" w:cs="Calibri"/>
          <w:sz w:val="22"/>
          <w:szCs w:val="22"/>
        </w:rPr>
        <w:t>configured by using UA signalling</w:t>
      </w:r>
      <w:r w:rsidR="001E117B">
        <w:rPr>
          <w:rFonts w:ascii="Calibri" w:hAnsi="Calibri" w:cs="Calibri"/>
          <w:sz w:val="22"/>
          <w:szCs w:val="22"/>
        </w:rPr>
        <w:t>:</w:t>
      </w:r>
    </w:p>
    <w:p w14:paraId="00E7B02B" w14:textId="338E8289" w:rsidR="001E117B" w:rsidRDefault="001E117B" w:rsidP="00F35928">
      <w:pPr>
        <w:pStyle w:val="BodyText"/>
        <w:numPr>
          <w:ilvl w:val="0"/>
          <w:numId w:val="39"/>
        </w:numPr>
        <w:jc w:val="left"/>
        <w:rPr>
          <w:rFonts w:ascii="Calibri" w:hAnsi="Calibri" w:cs="Calibri"/>
          <w:sz w:val="22"/>
          <w:szCs w:val="22"/>
        </w:rPr>
      </w:pPr>
      <w:r>
        <w:rPr>
          <w:rFonts w:ascii="Calibri" w:hAnsi="Calibri" w:cs="Calibri"/>
          <w:sz w:val="22"/>
          <w:szCs w:val="22"/>
        </w:rPr>
        <w:t xml:space="preserve">Traffic mapping at donor DU </w:t>
      </w:r>
      <w:r w:rsidR="006C3734">
        <w:rPr>
          <w:rFonts w:ascii="Calibri" w:hAnsi="Calibri" w:cs="Calibri"/>
          <w:sz w:val="22"/>
          <w:szCs w:val="22"/>
        </w:rPr>
        <w:t xml:space="preserve">and </w:t>
      </w:r>
      <w:r>
        <w:rPr>
          <w:rFonts w:ascii="Calibri" w:hAnsi="Calibri" w:cs="Calibri"/>
          <w:sz w:val="22"/>
          <w:szCs w:val="22"/>
        </w:rPr>
        <w:t>intermediate IAB nodes</w:t>
      </w:r>
      <w:r w:rsidR="00EF0877">
        <w:rPr>
          <w:rFonts w:ascii="Calibri" w:hAnsi="Calibri" w:cs="Calibri"/>
          <w:sz w:val="22"/>
          <w:szCs w:val="22"/>
        </w:rPr>
        <w:t>;</w:t>
      </w:r>
    </w:p>
    <w:p w14:paraId="7FE789DE" w14:textId="3DA10580" w:rsidR="001E117B" w:rsidRDefault="001E117B" w:rsidP="00F35928">
      <w:pPr>
        <w:pStyle w:val="BodyText"/>
        <w:numPr>
          <w:ilvl w:val="0"/>
          <w:numId w:val="39"/>
        </w:numPr>
        <w:jc w:val="left"/>
        <w:rPr>
          <w:rFonts w:ascii="Calibri" w:hAnsi="Calibri" w:cs="Calibri"/>
          <w:sz w:val="22"/>
          <w:szCs w:val="22"/>
        </w:rPr>
      </w:pPr>
      <w:r>
        <w:rPr>
          <w:rFonts w:ascii="Calibri" w:hAnsi="Calibri" w:cs="Calibri"/>
          <w:sz w:val="22"/>
          <w:szCs w:val="22"/>
        </w:rPr>
        <w:t xml:space="preserve">UP </w:t>
      </w:r>
      <w:r w:rsidR="00CA65AC">
        <w:rPr>
          <w:rFonts w:ascii="Calibri" w:hAnsi="Calibri" w:cs="Calibri"/>
          <w:sz w:val="22"/>
          <w:szCs w:val="22"/>
        </w:rPr>
        <w:t xml:space="preserve">TNL </w:t>
      </w:r>
      <w:r w:rsidR="00D75072">
        <w:rPr>
          <w:rFonts w:ascii="Calibri" w:hAnsi="Calibri" w:cs="Calibri"/>
          <w:sz w:val="22"/>
          <w:szCs w:val="22"/>
        </w:rPr>
        <w:t xml:space="preserve">information update </w:t>
      </w:r>
      <w:r w:rsidR="00EE5B28">
        <w:rPr>
          <w:rFonts w:ascii="Calibri" w:hAnsi="Calibri" w:cs="Calibri"/>
          <w:sz w:val="22"/>
          <w:szCs w:val="22"/>
        </w:rPr>
        <w:t xml:space="preserve">at </w:t>
      </w:r>
      <w:r w:rsidR="00F3293D">
        <w:rPr>
          <w:rFonts w:ascii="Calibri" w:hAnsi="Calibri" w:cs="Calibri"/>
          <w:sz w:val="22"/>
          <w:szCs w:val="22"/>
        </w:rPr>
        <w:t>donor</w:t>
      </w:r>
      <w:r w:rsidR="00B1177D">
        <w:rPr>
          <w:rFonts w:ascii="Calibri" w:hAnsi="Calibri" w:cs="Calibri"/>
          <w:sz w:val="22"/>
          <w:szCs w:val="22"/>
        </w:rPr>
        <w:t xml:space="preserve"> </w:t>
      </w:r>
      <w:r w:rsidR="00D75072">
        <w:rPr>
          <w:rFonts w:ascii="Calibri" w:hAnsi="Calibri" w:cs="Calibri"/>
          <w:sz w:val="22"/>
          <w:szCs w:val="22"/>
        </w:rPr>
        <w:t>CU-UP;</w:t>
      </w:r>
    </w:p>
    <w:p w14:paraId="0D0570A4" w14:textId="295F742B" w:rsidR="00D75072" w:rsidRDefault="00D75072" w:rsidP="00F35928">
      <w:pPr>
        <w:pStyle w:val="BodyText"/>
        <w:numPr>
          <w:ilvl w:val="0"/>
          <w:numId w:val="39"/>
        </w:numPr>
        <w:jc w:val="left"/>
        <w:rPr>
          <w:rFonts w:ascii="Calibri" w:hAnsi="Calibri" w:cs="Calibri"/>
          <w:sz w:val="22"/>
          <w:szCs w:val="22"/>
        </w:rPr>
      </w:pPr>
      <w:r>
        <w:rPr>
          <w:rFonts w:ascii="Calibri" w:hAnsi="Calibri" w:cs="Calibri"/>
          <w:sz w:val="22"/>
          <w:szCs w:val="22"/>
        </w:rPr>
        <w:t>UP TNL information update and BAP configuration info at IAB node.</w:t>
      </w:r>
    </w:p>
    <w:p w14:paraId="39B5EC00" w14:textId="20F792C5" w:rsidR="000647E7" w:rsidRDefault="00A9145C" w:rsidP="00F35928">
      <w:pPr>
        <w:pStyle w:val="BodyText"/>
        <w:jc w:val="left"/>
        <w:rPr>
          <w:rFonts w:ascii="Calibri" w:hAnsi="Calibri" w:cs="Calibri"/>
          <w:sz w:val="22"/>
          <w:szCs w:val="22"/>
        </w:rPr>
      </w:pPr>
      <w:r>
        <w:rPr>
          <w:rFonts w:ascii="Calibri" w:hAnsi="Calibri" w:cs="Calibri"/>
          <w:sz w:val="22"/>
          <w:szCs w:val="22"/>
        </w:rPr>
        <w:t>In addition</w:t>
      </w:r>
      <w:r w:rsidR="00C362F3">
        <w:rPr>
          <w:rFonts w:ascii="Calibri" w:hAnsi="Calibri" w:cs="Calibri"/>
          <w:sz w:val="22"/>
          <w:szCs w:val="22"/>
        </w:rPr>
        <w:t xml:space="preserve"> to previously expressed concerns about violating the UA-NUA signalling separation principle,</w:t>
      </w:r>
      <w:r w:rsidR="00142A57">
        <w:rPr>
          <w:rFonts w:ascii="Calibri" w:hAnsi="Calibri" w:cs="Calibri"/>
          <w:sz w:val="22"/>
          <w:szCs w:val="22"/>
        </w:rPr>
        <w:t xml:space="preserve"> some additional concerns are apparent.</w:t>
      </w:r>
    </w:p>
    <w:p w14:paraId="54C665F5" w14:textId="1B39F327" w:rsidR="00142A57" w:rsidRPr="00802920" w:rsidRDefault="00142A57" w:rsidP="00F35928">
      <w:pPr>
        <w:pStyle w:val="BodyText"/>
        <w:jc w:val="left"/>
        <w:rPr>
          <w:rFonts w:ascii="Calibri" w:hAnsi="Calibri" w:cs="Calibri"/>
          <w:sz w:val="22"/>
          <w:szCs w:val="22"/>
        </w:rPr>
      </w:pPr>
      <w:r>
        <w:rPr>
          <w:rFonts w:ascii="Calibri" w:hAnsi="Calibri" w:cs="Calibri"/>
          <w:sz w:val="22"/>
          <w:szCs w:val="22"/>
        </w:rPr>
        <w:t>The WA on traffic mapping at donor DU</w:t>
      </w:r>
      <w:r w:rsidR="006C3734">
        <w:rPr>
          <w:rFonts w:ascii="Calibri" w:hAnsi="Calibri" w:cs="Calibri"/>
          <w:sz w:val="22"/>
          <w:szCs w:val="22"/>
        </w:rPr>
        <w:t xml:space="preserve"> and</w:t>
      </w:r>
      <w:r>
        <w:rPr>
          <w:rFonts w:ascii="Calibri" w:hAnsi="Calibri" w:cs="Calibri"/>
          <w:sz w:val="22"/>
          <w:szCs w:val="22"/>
        </w:rPr>
        <w:t xml:space="preserve"> intermediate IAB nodes </w:t>
      </w:r>
      <w:r w:rsidR="00C40679">
        <w:rPr>
          <w:rFonts w:ascii="Calibri" w:hAnsi="Calibri" w:cs="Calibri"/>
          <w:sz w:val="22"/>
          <w:szCs w:val="22"/>
        </w:rPr>
        <w:t>states that the same IE would be used in both</w:t>
      </w:r>
      <w:r>
        <w:rPr>
          <w:rFonts w:ascii="Calibri" w:hAnsi="Calibri" w:cs="Calibri"/>
          <w:sz w:val="22"/>
          <w:szCs w:val="22"/>
        </w:rPr>
        <w:t xml:space="preserve"> NUA and UA messages. </w:t>
      </w:r>
      <w:r w:rsidR="003B3CD4">
        <w:rPr>
          <w:rFonts w:ascii="Calibri" w:hAnsi="Calibri" w:cs="Calibri"/>
          <w:sz w:val="22"/>
          <w:szCs w:val="22"/>
        </w:rPr>
        <w:t xml:space="preserve">However, it </w:t>
      </w:r>
      <w:r w:rsidR="00FD59F4">
        <w:rPr>
          <w:rFonts w:ascii="Calibri" w:hAnsi="Calibri" w:cs="Calibri"/>
          <w:sz w:val="22"/>
          <w:szCs w:val="22"/>
        </w:rPr>
        <w:t xml:space="preserve">seems to have been forgotten </w:t>
      </w:r>
      <w:r w:rsidR="003B3CD4">
        <w:rPr>
          <w:rFonts w:ascii="Calibri" w:hAnsi="Calibri" w:cs="Calibri"/>
          <w:sz w:val="22"/>
          <w:szCs w:val="22"/>
        </w:rPr>
        <w:t>that NUA and U</w:t>
      </w:r>
      <w:r w:rsidR="009B6358">
        <w:rPr>
          <w:rFonts w:ascii="Calibri" w:hAnsi="Calibri" w:cs="Calibri"/>
          <w:sz w:val="22"/>
          <w:szCs w:val="22"/>
        </w:rPr>
        <w:t>A</w:t>
      </w:r>
      <w:r w:rsidR="003B3CD4">
        <w:rPr>
          <w:rFonts w:ascii="Calibri" w:hAnsi="Calibri" w:cs="Calibri"/>
          <w:sz w:val="22"/>
          <w:szCs w:val="22"/>
        </w:rPr>
        <w:t xml:space="preserve"> signalling </w:t>
      </w:r>
      <w:r w:rsidR="000E420E">
        <w:rPr>
          <w:rFonts w:ascii="Calibri" w:hAnsi="Calibri" w:cs="Calibri"/>
          <w:sz w:val="22"/>
          <w:szCs w:val="22"/>
        </w:rPr>
        <w:t>are n</w:t>
      </w:r>
      <w:r w:rsidR="003B3CD4">
        <w:rPr>
          <w:rFonts w:ascii="Calibri" w:hAnsi="Calibri" w:cs="Calibri"/>
          <w:sz w:val="22"/>
          <w:szCs w:val="22"/>
        </w:rPr>
        <w:t xml:space="preserve">ot in sync. </w:t>
      </w:r>
      <w:r w:rsidR="000E420E">
        <w:rPr>
          <w:rFonts w:ascii="Calibri" w:hAnsi="Calibri" w:cs="Calibri"/>
          <w:sz w:val="22"/>
          <w:szCs w:val="22"/>
        </w:rPr>
        <w:t>In addition to the fact that the NUA and UA messages may use different TNLAs</w:t>
      </w:r>
      <w:r w:rsidR="00A07202">
        <w:rPr>
          <w:rFonts w:ascii="Calibri" w:hAnsi="Calibri" w:cs="Calibri"/>
          <w:sz w:val="22"/>
          <w:szCs w:val="22"/>
        </w:rPr>
        <w:t>, it also holds that</w:t>
      </w:r>
      <w:r w:rsidR="00703EE7">
        <w:rPr>
          <w:rFonts w:ascii="Calibri" w:hAnsi="Calibri" w:cs="Calibri"/>
          <w:sz w:val="22"/>
          <w:szCs w:val="22"/>
        </w:rPr>
        <w:t>,</w:t>
      </w:r>
      <w:r w:rsidR="003B3CD4">
        <w:rPr>
          <w:rFonts w:ascii="Calibri" w:hAnsi="Calibri" w:cs="Calibri"/>
          <w:sz w:val="22"/>
          <w:szCs w:val="22"/>
        </w:rPr>
        <w:t xml:space="preserve"> at any given moment, there can be only on</w:t>
      </w:r>
      <w:r w:rsidR="00781D32">
        <w:rPr>
          <w:rFonts w:ascii="Calibri" w:hAnsi="Calibri" w:cs="Calibri"/>
          <w:sz w:val="22"/>
          <w:szCs w:val="22"/>
        </w:rPr>
        <w:t>e unacknowledged (i.e. in-flight)</w:t>
      </w:r>
      <w:r w:rsidR="00807A73">
        <w:rPr>
          <w:rFonts w:ascii="Calibri" w:hAnsi="Calibri" w:cs="Calibri"/>
          <w:sz w:val="22"/>
          <w:szCs w:val="22"/>
        </w:rPr>
        <w:t xml:space="preserve"> UA message</w:t>
      </w:r>
      <w:r w:rsidR="00703EE7">
        <w:rPr>
          <w:rFonts w:ascii="Calibri" w:hAnsi="Calibri" w:cs="Calibri"/>
          <w:sz w:val="22"/>
          <w:szCs w:val="22"/>
        </w:rPr>
        <w:t xml:space="preserve"> </w:t>
      </w:r>
      <w:r w:rsidR="00703EE7">
        <w:rPr>
          <w:rFonts w:ascii="Calibri" w:hAnsi="Calibri" w:cs="Calibri"/>
          <w:sz w:val="22"/>
          <w:szCs w:val="22"/>
        </w:rPr>
        <w:t xml:space="preserve">for a </w:t>
      </w:r>
      <w:r w:rsidR="00703EE7">
        <w:rPr>
          <w:rFonts w:ascii="Calibri" w:hAnsi="Calibri" w:cs="Calibri"/>
          <w:sz w:val="22"/>
          <w:szCs w:val="22"/>
        </w:rPr>
        <w:t>given</w:t>
      </w:r>
      <w:r w:rsidR="00703EE7">
        <w:rPr>
          <w:rFonts w:ascii="Calibri" w:hAnsi="Calibri" w:cs="Calibri"/>
          <w:sz w:val="22"/>
          <w:szCs w:val="22"/>
        </w:rPr>
        <w:t xml:space="preserve"> UE</w:t>
      </w:r>
      <w:r w:rsidR="00807A73">
        <w:rPr>
          <w:rFonts w:ascii="Calibri" w:hAnsi="Calibri" w:cs="Calibri"/>
          <w:sz w:val="22"/>
          <w:szCs w:val="22"/>
        </w:rPr>
        <w:t xml:space="preserve">. On the other hand, this principle does not hold for NUA </w:t>
      </w:r>
      <w:r w:rsidR="00781D32">
        <w:rPr>
          <w:rFonts w:ascii="Calibri" w:hAnsi="Calibri" w:cs="Calibri"/>
          <w:sz w:val="22"/>
          <w:szCs w:val="22"/>
        </w:rPr>
        <w:t>signalling</w:t>
      </w:r>
      <w:r w:rsidR="00807A73">
        <w:rPr>
          <w:rFonts w:ascii="Calibri" w:hAnsi="Calibri" w:cs="Calibri"/>
          <w:sz w:val="22"/>
          <w:szCs w:val="22"/>
        </w:rPr>
        <w:t xml:space="preserve">, which </w:t>
      </w:r>
      <w:r w:rsidR="00781D32">
        <w:rPr>
          <w:rFonts w:ascii="Calibri" w:hAnsi="Calibri" w:cs="Calibri"/>
          <w:sz w:val="22"/>
          <w:szCs w:val="22"/>
        </w:rPr>
        <w:t xml:space="preserve">allows multiple </w:t>
      </w:r>
      <w:r w:rsidR="00493BE5">
        <w:rPr>
          <w:rFonts w:ascii="Calibri" w:hAnsi="Calibri" w:cs="Calibri"/>
          <w:sz w:val="22"/>
          <w:szCs w:val="22"/>
        </w:rPr>
        <w:t>in-flight messages</w:t>
      </w:r>
      <w:r w:rsidR="00517ACA">
        <w:rPr>
          <w:rFonts w:ascii="Calibri" w:hAnsi="Calibri" w:cs="Calibri"/>
          <w:sz w:val="22"/>
          <w:szCs w:val="22"/>
        </w:rPr>
        <w:t xml:space="preserve"> between a CU and DU</w:t>
      </w:r>
      <w:r w:rsidR="00493BE5">
        <w:rPr>
          <w:rFonts w:ascii="Calibri" w:hAnsi="Calibri" w:cs="Calibri"/>
          <w:sz w:val="22"/>
          <w:szCs w:val="22"/>
        </w:rPr>
        <w:t xml:space="preserve"> </w:t>
      </w:r>
      <w:r w:rsidR="00A07202">
        <w:rPr>
          <w:rFonts w:ascii="Calibri" w:hAnsi="Calibri" w:cs="Calibri"/>
          <w:sz w:val="22"/>
          <w:szCs w:val="22"/>
        </w:rPr>
        <w:t>at</w:t>
      </w:r>
      <w:r w:rsidR="00493BE5">
        <w:rPr>
          <w:rFonts w:ascii="Calibri" w:hAnsi="Calibri" w:cs="Calibri"/>
          <w:sz w:val="22"/>
          <w:szCs w:val="22"/>
        </w:rPr>
        <w:t xml:space="preserve"> any given moment, </w:t>
      </w:r>
      <w:r w:rsidR="00A07202">
        <w:rPr>
          <w:rFonts w:ascii="Calibri" w:hAnsi="Calibri" w:cs="Calibri"/>
          <w:sz w:val="22"/>
          <w:szCs w:val="22"/>
        </w:rPr>
        <w:t>thanks to</w:t>
      </w:r>
      <w:r w:rsidR="00493BE5">
        <w:rPr>
          <w:rFonts w:ascii="Calibri" w:hAnsi="Calibri" w:cs="Calibri"/>
          <w:sz w:val="22"/>
          <w:szCs w:val="22"/>
        </w:rPr>
        <w:t xml:space="preserve"> the use of </w:t>
      </w:r>
      <w:r w:rsidR="00493BE5" w:rsidRPr="00493BE5">
        <w:rPr>
          <w:rFonts w:ascii="Calibri" w:hAnsi="Calibri" w:cs="Calibri"/>
          <w:i/>
          <w:iCs/>
          <w:sz w:val="22"/>
          <w:szCs w:val="22"/>
        </w:rPr>
        <w:t>Transaction ID</w:t>
      </w:r>
      <w:r w:rsidR="00493BE5">
        <w:rPr>
          <w:rFonts w:ascii="Calibri" w:hAnsi="Calibri" w:cs="Calibri"/>
          <w:sz w:val="22"/>
          <w:szCs w:val="22"/>
        </w:rPr>
        <w:t xml:space="preserve"> IE. In</w:t>
      </w:r>
      <w:r w:rsidR="003974B3">
        <w:rPr>
          <w:rFonts w:ascii="Calibri" w:hAnsi="Calibri" w:cs="Calibri"/>
          <w:sz w:val="22"/>
          <w:szCs w:val="22"/>
        </w:rPr>
        <w:t xml:space="preserve"> this case, </w:t>
      </w:r>
      <w:r w:rsidR="008E3E4A">
        <w:rPr>
          <w:rFonts w:ascii="Calibri" w:hAnsi="Calibri" w:cs="Calibri"/>
          <w:sz w:val="22"/>
          <w:szCs w:val="22"/>
        </w:rPr>
        <w:t xml:space="preserve">there is a risk that </w:t>
      </w:r>
      <w:r w:rsidR="00B55B4F">
        <w:rPr>
          <w:rFonts w:ascii="Calibri" w:hAnsi="Calibri" w:cs="Calibri"/>
          <w:sz w:val="22"/>
          <w:szCs w:val="22"/>
        </w:rPr>
        <w:t>two</w:t>
      </w:r>
      <w:r w:rsidR="008E3E4A">
        <w:rPr>
          <w:rFonts w:ascii="Calibri" w:hAnsi="Calibri" w:cs="Calibri"/>
          <w:sz w:val="22"/>
          <w:szCs w:val="22"/>
        </w:rPr>
        <w:t xml:space="preserve"> messages</w:t>
      </w:r>
      <w:r w:rsidR="00493BE5">
        <w:rPr>
          <w:rFonts w:ascii="Calibri" w:hAnsi="Calibri" w:cs="Calibri"/>
          <w:sz w:val="22"/>
          <w:szCs w:val="22"/>
        </w:rPr>
        <w:t>, one NUA and one UA</w:t>
      </w:r>
      <w:r w:rsidR="00B55B4F">
        <w:rPr>
          <w:rFonts w:ascii="Calibri" w:hAnsi="Calibri" w:cs="Calibri"/>
          <w:sz w:val="22"/>
          <w:szCs w:val="22"/>
        </w:rPr>
        <w:t xml:space="preserve">, </w:t>
      </w:r>
      <w:r w:rsidR="00493BE5">
        <w:rPr>
          <w:rFonts w:ascii="Calibri" w:hAnsi="Calibri" w:cs="Calibri"/>
          <w:sz w:val="22"/>
          <w:szCs w:val="22"/>
        </w:rPr>
        <w:t>carrying</w:t>
      </w:r>
      <w:r w:rsidR="00517ACA">
        <w:rPr>
          <w:rFonts w:ascii="Calibri" w:hAnsi="Calibri" w:cs="Calibri"/>
          <w:sz w:val="22"/>
          <w:szCs w:val="22"/>
        </w:rPr>
        <w:t xml:space="preserve"> </w:t>
      </w:r>
      <w:r w:rsidR="00514688">
        <w:rPr>
          <w:rFonts w:ascii="Calibri" w:hAnsi="Calibri" w:cs="Calibri"/>
          <w:sz w:val="22"/>
          <w:szCs w:val="22"/>
        </w:rPr>
        <w:t xml:space="preserve">different </w:t>
      </w:r>
      <w:r w:rsidR="00493BE5">
        <w:rPr>
          <w:rFonts w:ascii="Calibri" w:hAnsi="Calibri" w:cs="Calibri"/>
          <w:sz w:val="22"/>
          <w:szCs w:val="22"/>
        </w:rPr>
        <w:t xml:space="preserve">configurations pertaining to the same BH RLC channel, arrive at the destination </w:t>
      </w:r>
      <w:r w:rsidR="000433B7">
        <w:rPr>
          <w:rFonts w:ascii="Calibri" w:hAnsi="Calibri" w:cs="Calibri"/>
          <w:sz w:val="22"/>
          <w:szCs w:val="22"/>
        </w:rPr>
        <w:t xml:space="preserve">in the order </w:t>
      </w:r>
      <w:r w:rsidR="004A3659">
        <w:rPr>
          <w:rFonts w:ascii="Calibri" w:hAnsi="Calibri" w:cs="Calibri"/>
          <w:sz w:val="22"/>
          <w:szCs w:val="22"/>
        </w:rPr>
        <w:t xml:space="preserve">different from </w:t>
      </w:r>
      <w:r w:rsidR="000433B7">
        <w:rPr>
          <w:rFonts w:ascii="Calibri" w:hAnsi="Calibri" w:cs="Calibri"/>
          <w:sz w:val="22"/>
          <w:szCs w:val="22"/>
        </w:rPr>
        <w:t xml:space="preserve">the order in which they </w:t>
      </w:r>
      <w:r w:rsidR="004A3659">
        <w:rPr>
          <w:rFonts w:ascii="Calibri" w:hAnsi="Calibri" w:cs="Calibri"/>
          <w:sz w:val="22"/>
          <w:szCs w:val="22"/>
        </w:rPr>
        <w:t>we</w:t>
      </w:r>
      <w:r w:rsidR="000433B7">
        <w:rPr>
          <w:rFonts w:ascii="Calibri" w:hAnsi="Calibri" w:cs="Calibri"/>
          <w:sz w:val="22"/>
          <w:szCs w:val="22"/>
        </w:rPr>
        <w:t>re sent.</w:t>
      </w:r>
      <w:r w:rsidR="003B4536">
        <w:rPr>
          <w:rFonts w:ascii="Calibri" w:hAnsi="Calibri" w:cs="Calibri"/>
          <w:sz w:val="22"/>
          <w:szCs w:val="22"/>
        </w:rPr>
        <w:t xml:space="preserve"> This may cause serious issue</w:t>
      </w:r>
      <w:r w:rsidR="00D04D19">
        <w:rPr>
          <w:rFonts w:ascii="Calibri" w:hAnsi="Calibri" w:cs="Calibri"/>
          <w:sz w:val="22"/>
          <w:szCs w:val="22"/>
        </w:rPr>
        <w:t>s, since the rec</w:t>
      </w:r>
      <w:r w:rsidR="00A91C0A">
        <w:rPr>
          <w:rFonts w:ascii="Calibri" w:hAnsi="Calibri" w:cs="Calibri"/>
          <w:sz w:val="22"/>
          <w:szCs w:val="22"/>
        </w:rPr>
        <w:t>eiving node</w:t>
      </w:r>
      <w:r w:rsidR="00D04D19">
        <w:rPr>
          <w:rFonts w:ascii="Calibri" w:hAnsi="Calibri" w:cs="Calibri"/>
          <w:sz w:val="22"/>
          <w:szCs w:val="22"/>
        </w:rPr>
        <w:t xml:space="preserve"> would be wrongly configured for</w:t>
      </w:r>
      <w:r w:rsidR="00B31457">
        <w:rPr>
          <w:rFonts w:ascii="Calibri" w:hAnsi="Calibri" w:cs="Calibri"/>
          <w:sz w:val="22"/>
          <w:szCs w:val="22"/>
        </w:rPr>
        <w:t xml:space="preserve"> traffic</w:t>
      </w:r>
      <w:r w:rsidR="00D04D19">
        <w:rPr>
          <w:rFonts w:ascii="Calibri" w:hAnsi="Calibri" w:cs="Calibri"/>
          <w:sz w:val="22"/>
          <w:szCs w:val="22"/>
        </w:rPr>
        <w:t xml:space="preserve"> mapping.</w:t>
      </w:r>
      <w:r w:rsidR="00743DD4">
        <w:rPr>
          <w:rFonts w:ascii="Calibri" w:hAnsi="Calibri" w:cs="Calibri"/>
          <w:sz w:val="22"/>
          <w:szCs w:val="22"/>
        </w:rPr>
        <w:t xml:space="preserve"> A similar problem was </w:t>
      </w:r>
      <w:r w:rsidR="00B31457">
        <w:rPr>
          <w:rFonts w:ascii="Calibri" w:hAnsi="Calibri" w:cs="Calibri"/>
          <w:sz w:val="22"/>
          <w:szCs w:val="22"/>
        </w:rPr>
        <w:t>acknowledged a few meetings</w:t>
      </w:r>
      <w:r w:rsidR="000B7613">
        <w:rPr>
          <w:rFonts w:ascii="Calibri" w:hAnsi="Calibri" w:cs="Calibri"/>
          <w:sz w:val="22"/>
          <w:szCs w:val="22"/>
        </w:rPr>
        <w:t xml:space="preserve"> ago</w:t>
      </w:r>
      <w:r w:rsidR="00743DD4">
        <w:rPr>
          <w:rFonts w:ascii="Calibri" w:hAnsi="Calibri" w:cs="Calibri"/>
          <w:sz w:val="22"/>
          <w:szCs w:val="22"/>
        </w:rPr>
        <w:t xml:space="preserve"> </w:t>
      </w:r>
      <w:r w:rsidR="00A643E5">
        <w:rPr>
          <w:rFonts w:ascii="Calibri" w:hAnsi="Calibri" w:cs="Calibri"/>
          <w:sz w:val="22"/>
          <w:szCs w:val="22"/>
        </w:rPr>
        <w:t xml:space="preserve">for the proposal </w:t>
      </w:r>
      <w:r w:rsidR="00B31457">
        <w:rPr>
          <w:rFonts w:ascii="Calibri" w:hAnsi="Calibri" w:cs="Calibri"/>
          <w:sz w:val="22"/>
          <w:szCs w:val="22"/>
        </w:rPr>
        <w:t>to allow</w:t>
      </w:r>
      <w:r w:rsidR="00A643E5">
        <w:rPr>
          <w:rFonts w:ascii="Calibri" w:hAnsi="Calibri" w:cs="Calibri"/>
          <w:sz w:val="22"/>
          <w:szCs w:val="22"/>
        </w:rPr>
        <w:t xml:space="preserve"> carrying di</w:t>
      </w:r>
      <w:r w:rsidR="00A643E5" w:rsidRPr="00A643E5">
        <w:rPr>
          <w:rFonts w:ascii="Calibri" w:hAnsi="Calibri" w:cs="Calibri"/>
          <w:sz w:val="22"/>
          <w:szCs w:val="22"/>
        </w:rPr>
        <w:t xml:space="preserve">fferent SRBs </w:t>
      </w:r>
      <w:r w:rsidR="00A643E5">
        <w:rPr>
          <w:rFonts w:ascii="Calibri" w:hAnsi="Calibri" w:cs="Calibri"/>
          <w:sz w:val="22"/>
          <w:szCs w:val="22"/>
        </w:rPr>
        <w:t>o</w:t>
      </w:r>
      <w:r w:rsidR="00A643E5" w:rsidRPr="00A643E5">
        <w:rPr>
          <w:rFonts w:ascii="Calibri" w:hAnsi="Calibri" w:cs="Calibri"/>
          <w:sz w:val="22"/>
          <w:szCs w:val="22"/>
        </w:rPr>
        <w:t xml:space="preserve">ver </w:t>
      </w:r>
      <w:r w:rsidR="00A643E5">
        <w:rPr>
          <w:rFonts w:ascii="Calibri" w:hAnsi="Calibri" w:cs="Calibri"/>
          <w:sz w:val="22"/>
          <w:szCs w:val="22"/>
        </w:rPr>
        <w:t>d</w:t>
      </w:r>
      <w:r w:rsidR="00A643E5" w:rsidRPr="00A643E5">
        <w:rPr>
          <w:rFonts w:ascii="Calibri" w:hAnsi="Calibri" w:cs="Calibri"/>
          <w:sz w:val="22"/>
          <w:szCs w:val="22"/>
        </w:rPr>
        <w:t xml:space="preserve">ifferent SCTP </w:t>
      </w:r>
      <w:r w:rsidR="00A643E5">
        <w:rPr>
          <w:rFonts w:ascii="Calibri" w:hAnsi="Calibri" w:cs="Calibri"/>
          <w:sz w:val="22"/>
          <w:szCs w:val="22"/>
        </w:rPr>
        <w:t>s</w:t>
      </w:r>
      <w:r w:rsidR="00A643E5" w:rsidRPr="00A643E5">
        <w:rPr>
          <w:rFonts w:ascii="Calibri" w:hAnsi="Calibri" w:cs="Calibri"/>
          <w:sz w:val="22"/>
          <w:szCs w:val="22"/>
        </w:rPr>
        <w:t>treams</w:t>
      </w:r>
      <w:r w:rsidR="00A643E5">
        <w:rPr>
          <w:rFonts w:ascii="Calibri" w:hAnsi="Calibri" w:cs="Calibri"/>
          <w:sz w:val="22"/>
          <w:szCs w:val="22"/>
        </w:rPr>
        <w:t xml:space="preserve">, that RAN3 </w:t>
      </w:r>
      <w:r w:rsidR="004C3490">
        <w:rPr>
          <w:rFonts w:ascii="Calibri" w:hAnsi="Calibri" w:cs="Calibri"/>
          <w:sz w:val="22"/>
          <w:szCs w:val="22"/>
        </w:rPr>
        <w:t>fortunately</w:t>
      </w:r>
      <w:r w:rsidR="00A643E5">
        <w:rPr>
          <w:rFonts w:ascii="Calibri" w:hAnsi="Calibri" w:cs="Calibri"/>
          <w:sz w:val="22"/>
          <w:szCs w:val="22"/>
        </w:rPr>
        <w:t xml:space="preserve"> rejected.</w:t>
      </w:r>
    </w:p>
    <w:p w14:paraId="78056DA3" w14:textId="790AFC4E" w:rsidR="00F013D2" w:rsidRPr="00A91C0A" w:rsidRDefault="00F013D2" w:rsidP="00F35928">
      <w:pPr>
        <w:pStyle w:val="BodyText"/>
        <w:jc w:val="left"/>
        <w:rPr>
          <w:rFonts w:ascii="Calibri" w:hAnsi="Calibri" w:cs="Calibri"/>
          <w:b/>
          <w:bCs/>
          <w:sz w:val="22"/>
          <w:szCs w:val="22"/>
        </w:rPr>
      </w:pPr>
      <w:r w:rsidRPr="00F013D2">
        <w:rPr>
          <w:rFonts w:ascii="Calibri" w:hAnsi="Calibri" w:cs="Calibri"/>
          <w:b/>
          <w:bCs/>
          <w:sz w:val="22"/>
          <w:szCs w:val="22"/>
        </w:rPr>
        <w:t>Observation 1:</w:t>
      </w:r>
      <w:bookmarkEnd w:id="0"/>
      <w:r w:rsidR="00EB710D">
        <w:rPr>
          <w:rFonts w:ascii="Calibri" w:hAnsi="Calibri" w:cs="Calibri"/>
          <w:b/>
          <w:bCs/>
          <w:sz w:val="22"/>
          <w:szCs w:val="22"/>
        </w:rPr>
        <w:t xml:space="preserve"> </w:t>
      </w:r>
      <w:r w:rsidR="00A91C0A">
        <w:rPr>
          <w:rFonts w:ascii="Calibri" w:hAnsi="Calibri" w:cs="Calibri"/>
          <w:b/>
          <w:bCs/>
          <w:sz w:val="22"/>
          <w:szCs w:val="22"/>
        </w:rPr>
        <w:t xml:space="preserve">The consequence of WA </w:t>
      </w:r>
      <w:r w:rsidR="00A91C0A" w:rsidRPr="00A91C0A">
        <w:rPr>
          <w:rFonts w:ascii="Calibri" w:hAnsi="Calibri" w:cs="Calibri"/>
          <w:b/>
          <w:bCs/>
          <w:sz w:val="22"/>
          <w:szCs w:val="22"/>
        </w:rPr>
        <w:t>for traffic mapping at donor DU and intermediate IAB nodes</w:t>
      </w:r>
      <w:r w:rsidR="00A91C0A">
        <w:rPr>
          <w:rFonts w:ascii="Calibri" w:hAnsi="Calibri" w:cs="Calibri"/>
          <w:b/>
          <w:bCs/>
          <w:sz w:val="22"/>
          <w:szCs w:val="22"/>
        </w:rPr>
        <w:t xml:space="preserve">, </w:t>
      </w:r>
      <w:r w:rsidR="00A91C0A" w:rsidRPr="00514688">
        <w:rPr>
          <w:rFonts w:ascii="Calibri" w:hAnsi="Calibri" w:cs="Calibri"/>
          <w:b/>
          <w:bCs/>
          <w:sz w:val="22"/>
          <w:szCs w:val="22"/>
        </w:rPr>
        <w:t>allowing to carry the</w:t>
      </w:r>
      <w:r w:rsidR="00231DFC">
        <w:rPr>
          <w:rFonts w:ascii="Calibri" w:hAnsi="Calibri" w:cs="Calibri"/>
          <w:b/>
          <w:bCs/>
          <w:sz w:val="22"/>
          <w:szCs w:val="22"/>
        </w:rPr>
        <w:t xml:space="preserve"> mapping</w:t>
      </w:r>
      <w:r w:rsidR="00A91C0A" w:rsidRPr="00514688">
        <w:rPr>
          <w:rFonts w:ascii="Calibri" w:hAnsi="Calibri" w:cs="Calibri"/>
          <w:b/>
          <w:bCs/>
          <w:sz w:val="22"/>
          <w:szCs w:val="22"/>
        </w:rPr>
        <w:t xml:space="preserve"> configuration IE in both UA and NUA messages</w:t>
      </w:r>
      <w:r w:rsidR="00514688" w:rsidRPr="00514688">
        <w:rPr>
          <w:rFonts w:ascii="Calibri" w:hAnsi="Calibri" w:cs="Calibri"/>
          <w:b/>
          <w:bCs/>
          <w:sz w:val="22"/>
          <w:szCs w:val="22"/>
        </w:rPr>
        <w:t>, is that two different configurations pertaining to the same BH RLC channel,</w:t>
      </w:r>
      <w:r w:rsidR="00AE71BE">
        <w:rPr>
          <w:rFonts w:ascii="Calibri" w:hAnsi="Calibri" w:cs="Calibri"/>
          <w:b/>
          <w:bCs/>
          <w:sz w:val="22"/>
          <w:szCs w:val="22"/>
        </w:rPr>
        <w:t xml:space="preserve"> one carried in a NUA and one carried in a UA message, may</w:t>
      </w:r>
      <w:r w:rsidR="00514688" w:rsidRPr="00514688">
        <w:rPr>
          <w:rFonts w:ascii="Calibri" w:hAnsi="Calibri" w:cs="Calibri"/>
          <w:b/>
          <w:bCs/>
          <w:sz w:val="22"/>
          <w:szCs w:val="22"/>
        </w:rPr>
        <w:t xml:space="preserve"> arrive at the destination in the</w:t>
      </w:r>
      <w:r w:rsidR="004C3490">
        <w:rPr>
          <w:rFonts w:ascii="Calibri" w:hAnsi="Calibri" w:cs="Calibri"/>
          <w:b/>
          <w:bCs/>
          <w:sz w:val="22"/>
          <w:szCs w:val="22"/>
        </w:rPr>
        <w:t xml:space="preserve"> order different from</w:t>
      </w:r>
      <w:r w:rsidR="00514688" w:rsidRPr="00514688">
        <w:rPr>
          <w:rFonts w:ascii="Calibri" w:hAnsi="Calibri" w:cs="Calibri"/>
          <w:b/>
          <w:bCs/>
          <w:sz w:val="22"/>
          <w:szCs w:val="22"/>
        </w:rPr>
        <w:t xml:space="preserve"> the order in which they are sent</w:t>
      </w:r>
      <w:r w:rsidR="00231DFC">
        <w:rPr>
          <w:rFonts w:ascii="Calibri" w:hAnsi="Calibri" w:cs="Calibri"/>
          <w:b/>
          <w:bCs/>
          <w:sz w:val="22"/>
          <w:szCs w:val="22"/>
        </w:rPr>
        <w:t>.</w:t>
      </w:r>
    </w:p>
    <w:p w14:paraId="23A03260" w14:textId="2E9FEF08" w:rsidR="004561D2" w:rsidRPr="002F5055" w:rsidRDefault="00F013D2" w:rsidP="002F5055">
      <w:pPr>
        <w:pStyle w:val="BodyText"/>
        <w:jc w:val="left"/>
        <w:rPr>
          <w:rFonts w:ascii="Calibri" w:hAnsi="Calibri" w:cs="Calibri"/>
          <w:sz w:val="22"/>
          <w:szCs w:val="22"/>
        </w:rPr>
      </w:pPr>
      <w:r w:rsidRPr="00F013D2">
        <w:rPr>
          <w:rFonts w:ascii="Calibri" w:hAnsi="Calibri" w:cs="Calibri"/>
          <w:sz w:val="22"/>
          <w:szCs w:val="22"/>
        </w:rPr>
        <w:lastRenderedPageBreak/>
        <w:t xml:space="preserve">The </w:t>
      </w:r>
      <w:r w:rsidR="00231DFC">
        <w:rPr>
          <w:rFonts w:ascii="Calibri" w:hAnsi="Calibri" w:cs="Calibri"/>
          <w:sz w:val="22"/>
          <w:szCs w:val="22"/>
        </w:rPr>
        <w:t xml:space="preserve">main advantage </w:t>
      </w:r>
      <w:r w:rsidR="007B3817">
        <w:rPr>
          <w:rFonts w:ascii="Calibri" w:hAnsi="Calibri" w:cs="Calibri"/>
          <w:sz w:val="22"/>
          <w:szCs w:val="22"/>
        </w:rPr>
        <w:t>claimed by</w:t>
      </w:r>
      <w:r w:rsidR="001A2FF0">
        <w:rPr>
          <w:rFonts w:ascii="Calibri" w:hAnsi="Calibri" w:cs="Calibri"/>
          <w:sz w:val="22"/>
          <w:szCs w:val="22"/>
        </w:rPr>
        <w:t xml:space="preserve"> the proponents of NUA signalling is signalling reduction – it is claimed that sending one NUA message for configuration of x BH RLC channels </w:t>
      </w:r>
      <w:r w:rsidR="00DF0EF9">
        <w:rPr>
          <w:rFonts w:ascii="Calibri" w:hAnsi="Calibri" w:cs="Calibri"/>
          <w:sz w:val="22"/>
          <w:szCs w:val="22"/>
        </w:rPr>
        <w:t>stretching between an</w:t>
      </w:r>
      <w:r w:rsidR="00D73C50">
        <w:rPr>
          <w:rFonts w:ascii="Calibri" w:hAnsi="Calibri" w:cs="Calibri"/>
          <w:sz w:val="22"/>
          <w:szCs w:val="22"/>
        </w:rPr>
        <w:t xml:space="preserve"> IAB-DU</w:t>
      </w:r>
      <w:r w:rsidR="00B330A2">
        <w:rPr>
          <w:rFonts w:ascii="Calibri" w:hAnsi="Calibri" w:cs="Calibri"/>
          <w:sz w:val="22"/>
          <w:szCs w:val="22"/>
        </w:rPr>
        <w:t xml:space="preserve"> towards x different children</w:t>
      </w:r>
      <w:r w:rsidR="00D73C50">
        <w:rPr>
          <w:rFonts w:ascii="Calibri" w:hAnsi="Calibri" w:cs="Calibri"/>
          <w:sz w:val="22"/>
          <w:szCs w:val="22"/>
        </w:rPr>
        <w:t xml:space="preserve"> requires less signalling than </w:t>
      </w:r>
      <w:r w:rsidR="00D70FFA">
        <w:rPr>
          <w:rFonts w:ascii="Calibri" w:hAnsi="Calibri" w:cs="Calibri"/>
          <w:sz w:val="22"/>
          <w:szCs w:val="22"/>
        </w:rPr>
        <w:t>sending</w:t>
      </w:r>
      <w:r w:rsidR="00B330A2">
        <w:rPr>
          <w:rFonts w:ascii="Calibri" w:hAnsi="Calibri" w:cs="Calibri"/>
          <w:sz w:val="22"/>
          <w:szCs w:val="22"/>
        </w:rPr>
        <w:t xml:space="preserve"> x UA messages with the </w:t>
      </w:r>
      <w:r w:rsidR="00D70FFA">
        <w:rPr>
          <w:rFonts w:ascii="Calibri" w:hAnsi="Calibri" w:cs="Calibri"/>
          <w:sz w:val="22"/>
          <w:szCs w:val="22"/>
        </w:rPr>
        <w:t>individual c</w:t>
      </w:r>
      <w:r w:rsidR="00B330A2">
        <w:rPr>
          <w:rFonts w:ascii="Calibri" w:hAnsi="Calibri" w:cs="Calibri"/>
          <w:sz w:val="22"/>
          <w:szCs w:val="22"/>
        </w:rPr>
        <w:t>onfiguration</w:t>
      </w:r>
      <w:r w:rsidR="00D70FFA">
        <w:rPr>
          <w:rFonts w:ascii="Calibri" w:hAnsi="Calibri" w:cs="Calibri"/>
          <w:sz w:val="22"/>
          <w:szCs w:val="22"/>
        </w:rPr>
        <w:t>s, one per child</w:t>
      </w:r>
      <w:r w:rsidR="00B330A2">
        <w:rPr>
          <w:rFonts w:ascii="Calibri" w:hAnsi="Calibri" w:cs="Calibri"/>
          <w:sz w:val="22"/>
          <w:szCs w:val="22"/>
        </w:rPr>
        <w:t xml:space="preserve">. </w:t>
      </w:r>
      <w:r w:rsidR="00AB10C3">
        <w:rPr>
          <w:rFonts w:ascii="Calibri" w:hAnsi="Calibri" w:cs="Calibri"/>
          <w:sz w:val="22"/>
          <w:szCs w:val="22"/>
        </w:rPr>
        <w:t>The claimed use case is IAB node migration, where</w:t>
      </w:r>
      <w:r w:rsidR="00282CF1">
        <w:rPr>
          <w:rFonts w:ascii="Calibri" w:hAnsi="Calibri" w:cs="Calibri"/>
          <w:sz w:val="22"/>
          <w:szCs w:val="22"/>
        </w:rPr>
        <w:t>, most often</w:t>
      </w:r>
      <w:r w:rsidR="004F5C38">
        <w:rPr>
          <w:rFonts w:ascii="Calibri" w:hAnsi="Calibri" w:cs="Calibri"/>
          <w:sz w:val="22"/>
          <w:szCs w:val="22"/>
        </w:rPr>
        <w:t xml:space="preserve"> new BH RLC </w:t>
      </w:r>
      <w:r w:rsidR="00261CF6">
        <w:rPr>
          <w:rFonts w:ascii="Calibri" w:hAnsi="Calibri" w:cs="Calibri"/>
          <w:sz w:val="22"/>
          <w:szCs w:val="22"/>
        </w:rPr>
        <w:t xml:space="preserve">channels need to be established, and both the IAB-DU and IAB-MT side need to be reconfigured. </w:t>
      </w:r>
      <w:r w:rsidR="00FB2752">
        <w:rPr>
          <w:rFonts w:ascii="Calibri" w:hAnsi="Calibri" w:cs="Calibri"/>
          <w:sz w:val="22"/>
          <w:szCs w:val="22"/>
        </w:rPr>
        <w:t>If an existing</w:t>
      </w:r>
      <w:r w:rsidR="00996354">
        <w:rPr>
          <w:rFonts w:ascii="Calibri" w:hAnsi="Calibri" w:cs="Calibri"/>
          <w:sz w:val="22"/>
          <w:szCs w:val="22"/>
        </w:rPr>
        <w:t xml:space="preserve"> </w:t>
      </w:r>
      <w:r w:rsidR="002F5055">
        <w:rPr>
          <w:rFonts w:ascii="Calibri" w:hAnsi="Calibri" w:cs="Calibri"/>
          <w:sz w:val="22"/>
          <w:szCs w:val="22"/>
        </w:rPr>
        <w:t xml:space="preserve">BH RLC </w:t>
      </w:r>
      <w:r w:rsidR="003D1650">
        <w:rPr>
          <w:rFonts w:ascii="Calibri" w:hAnsi="Calibri" w:cs="Calibri"/>
          <w:sz w:val="22"/>
          <w:szCs w:val="22"/>
        </w:rPr>
        <w:t xml:space="preserve">channel is used, </w:t>
      </w:r>
      <w:r w:rsidR="00907E1E">
        <w:rPr>
          <w:rFonts w:ascii="Calibri" w:hAnsi="Calibri" w:cs="Calibri"/>
          <w:sz w:val="22"/>
          <w:szCs w:val="22"/>
        </w:rPr>
        <w:t>at least</w:t>
      </w:r>
      <w:r w:rsidR="00CA147B">
        <w:rPr>
          <w:rFonts w:ascii="Calibri" w:hAnsi="Calibri" w:cs="Calibri"/>
          <w:sz w:val="22"/>
          <w:szCs w:val="22"/>
        </w:rPr>
        <w:t xml:space="preserve"> new</w:t>
      </w:r>
      <w:r w:rsidR="002F5055">
        <w:rPr>
          <w:rFonts w:ascii="Calibri" w:hAnsi="Calibri" w:cs="Calibri"/>
          <w:sz w:val="22"/>
          <w:szCs w:val="22"/>
        </w:rPr>
        <w:t xml:space="preserve"> BAP routing ID</w:t>
      </w:r>
      <w:r w:rsidR="004F5C38">
        <w:rPr>
          <w:rFonts w:ascii="Calibri" w:hAnsi="Calibri" w:cs="Calibri"/>
          <w:sz w:val="22"/>
          <w:szCs w:val="22"/>
        </w:rPr>
        <w:t xml:space="preserve">(s) </w:t>
      </w:r>
      <w:r w:rsidR="00CA147B">
        <w:rPr>
          <w:rFonts w:ascii="Calibri" w:hAnsi="Calibri" w:cs="Calibri"/>
          <w:sz w:val="22"/>
          <w:szCs w:val="22"/>
        </w:rPr>
        <w:t>will need to be assigned to the</w:t>
      </w:r>
      <w:r w:rsidR="00AF27A3">
        <w:rPr>
          <w:rFonts w:ascii="Calibri" w:hAnsi="Calibri" w:cs="Calibri"/>
          <w:sz w:val="22"/>
          <w:szCs w:val="22"/>
        </w:rPr>
        <w:t xml:space="preserve"> migrating </w:t>
      </w:r>
      <w:r w:rsidR="00907E1E">
        <w:rPr>
          <w:rFonts w:ascii="Calibri" w:hAnsi="Calibri" w:cs="Calibri"/>
          <w:sz w:val="22"/>
          <w:szCs w:val="22"/>
        </w:rPr>
        <w:t>IAB-</w:t>
      </w:r>
      <w:r w:rsidR="00AF27A3">
        <w:rPr>
          <w:rFonts w:ascii="Calibri" w:hAnsi="Calibri" w:cs="Calibri"/>
          <w:sz w:val="22"/>
          <w:szCs w:val="22"/>
        </w:rPr>
        <w:t>MTs</w:t>
      </w:r>
      <w:r w:rsidR="003C7A0A">
        <w:rPr>
          <w:rFonts w:ascii="Calibri" w:hAnsi="Calibri" w:cs="Calibri"/>
          <w:sz w:val="22"/>
          <w:szCs w:val="22"/>
        </w:rPr>
        <w:t>.</w:t>
      </w:r>
      <w:r w:rsidR="00282CF1" w:rsidRPr="002F5055">
        <w:rPr>
          <w:rFonts w:ascii="Calibri" w:hAnsi="Calibri" w:cs="Calibri"/>
          <w:sz w:val="22"/>
          <w:szCs w:val="22"/>
        </w:rPr>
        <w:t xml:space="preserve"> </w:t>
      </w:r>
    </w:p>
    <w:p w14:paraId="4EB88A61" w14:textId="0D8B811C" w:rsidR="00CD591D" w:rsidRDefault="00B330A2" w:rsidP="00F35928">
      <w:pPr>
        <w:pStyle w:val="BodyText"/>
        <w:jc w:val="left"/>
        <w:rPr>
          <w:rFonts w:ascii="Calibri" w:hAnsi="Calibri" w:cs="Calibri"/>
          <w:sz w:val="22"/>
          <w:szCs w:val="22"/>
        </w:rPr>
      </w:pPr>
      <w:r>
        <w:rPr>
          <w:rFonts w:ascii="Calibri" w:hAnsi="Calibri" w:cs="Calibri"/>
          <w:sz w:val="22"/>
          <w:szCs w:val="22"/>
        </w:rPr>
        <w:t>Howeve</w:t>
      </w:r>
      <w:r w:rsidR="00C94EBA">
        <w:rPr>
          <w:rFonts w:ascii="Calibri" w:hAnsi="Calibri" w:cs="Calibri"/>
          <w:sz w:val="22"/>
          <w:szCs w:val="22"/>
        </w:rPr>
        <w:t xml:space="preserve">r, since the </w:t>
      </w:r>
      <w:r w:rsidR="004561D2">
        <w:rPr>
          <w:rFonts w:ascii="Calibri" w:hAnsi="Calibri" w:cs="Calibri"/>
          <w:sz w:val="22"/>
          <w:szCs w:val="22"/>
        </w:rPr>
        <w:t>IAB-MT side o</w:t>
      </w:r>
      <w:r w:rsidR="00C94EBA">
        <w:rPr>
          <w:rFonts w:ascii="Calibri" w:hAnsi="Calibri" w:cs="Calibri"/>
          <w:sz w:val="22"/>
          <w:szCs w:val="22"/>
        </w:rPr>
        <w:t xml:space="preserve">f a BH RLC channel is </w:t>
      </w:r>
      <w:r w:rsidR="004561D2">
        <w:rPr>
          <w:rFonts w:ascii="Calibri" w:hAnsi="Calibri" w:cs="Calibri"/>
          <w:sz w:val="22"/>
          <w:szCs w:val="22"/>
        </w:rPr>
        <w:t>(</w:t>
      </w:r>
      <w:r w:rsidR="00C94EBA">
        <w:rPr>
          <w:rFonts w:ascii="Calibri" w:hAnsi="Calibri" w:cs="Calibri"/>
          <w:sz w:val="22"/>
          <w:szCs w:val="22"/>
        </w:rPr>
        <w:t>re</w:t>
      </w:r>
      <w:r w:rsidR="004561D2">
        <w:rPr>
          <w:rFonts w:ascii="Calibri" w:hAnsi="Calibri" w:cs="Calibri"/>
          <w:sz w:val="22"/>
          <w:szCs w:val="22"/>
        </w:rPr>
        <w:t>)</w:t>
      </w:r>
      <w:r w:rsidR="00C94EBA">
        <w:rPr>
          <w:rFonts w:ascii="Calibri" w:hAnsi="Calibri" w:cs="Calibri"/>
          <w:sz w:val="22"/>
          <w:szCs w:val="22"/>
        </w:rPr>
        <w:t>configured via RRC signalling, it is still necessary</w:t>
      </w:r>
      <w:r w:rsidR="00FF1CA1">
        <w:rPr>
          <w:rFonts w:ascii="Calibri" w:hAnsi="Calibri" w:cs="Calibri"/>
          <w:sz w:val="22"/>
          <w:szCs w:val="22"/>
        </w:rPr>
        <w:t xml:space="preserve"> to send x UA F1AP messages to </w:t>
      </w:r>
      <w:r w:rsidR="008B0E80">
        <w:rPr>
          <w:rFonts w:ascii="Calibri" w:hAnsi="Calibri" w:cs="Calibri"/>
          <w:sz w:val="22"/>
          <w:szCs w:val="22"/>
        </w:rPr>
        <w:t>IAB-MT’s</w:t>
      </w:r>
      <w:r w:rsidR="00FF1CA1">
        <w:rPr>
          <w:rFonts w:ascii="Calibri" w:hAnsi="Calibri" w:cs="Calibri"/>
          <w:sz w:val="22"/>
          <w:szCs w:val="22"/>
        </w:rPr>
        <w:t xml:space="preserve"> parent IAB-DU, encapsulating </w:t>
      </w:r>
      <w:r w:rsidR="009C5A6F">
        <w:rPr>
          <w:rFonts w:ascii="Calibri" w:hAnsi="Calibri" w:cs="Calibri"/>
          <w:sz w:val="22"/>
          <w:szCs w:val="22"/>
        </w:rPr>
        <w:t xml:space="preserve">the RRC reconfiguration of the IAB-MT. </w:t>
      </w:r>
      <w:r w:rsidR="00CB4452">
        <w:rPr>
          <w:rFonts w:ascii="Calibri" w:hAnsi="Calibri" w:cs="Calibri"/>
          <w:sz w:val="22"/>
          <w:szCs w:val="22"/>
        </w:rPr>
        <w:t xml:space="preserve">Here, the same UA </w:t>
      </w:r>
      <w:r w:rsidR="00CB4452" w:rsidRPr="00CD591D">
        <w:rPr>
          <w:rFonts w:ascii="Calibri" w:hAnsi="Calibri" w:cs="Calibri"/>
          <w:sz w:val="22"/>
          <w:szCs w:val="22"/>
        </w:rPr>
        <w:t>F1AP message can carry both the configuration for the IAB-DU side of the BH RLC channel, and the RRC configuration for the IAB-MT side of the same channel.</w:t>
      </w:r>
      <w:r w:rsidR="00CD591D" w:rsidRPr="00CD591D">
        <w:rPr>
          <w:rFonts w:ascii="Calibri" w:hAnsi="Calibri" w:cs="Calibri"/>
          <w:sz w:val="22"/>
          <w:szCs w:val="22"/>
        </w:rPr>
        <w:t xml:space="preserve"> </w:t>
      </w:r>
      <w:r w:rsidR="008B0E80">
        <w:rPr>
          <w:rFonts w:ascii="Calibri" w:hAnsi="Calibri" w:cs="Calibri"/>
          <w:sz w:val="22"/>
          <w:szCs w:val="22"/>
        </w:rPr>
        <w:t>So, e</w:t>
      </w:r>
      <w:r w:rsidR="00E272B2">
        <w:rPr>
          <w:rFonts w:ascii="Calibri" w:hAnsi="Calibri" w:cs="Calibri"/>
          <w:sz w:val="22"/>
          <w:szCs w:val="22"/>
        </w:rPr>
        <w:t xml:space="preserve">ven if NUA signalling is used to configure the IAB-DU side of the channel, UA signalling </w:t>
      </w:r>
      <w:r w:rsidR="008F3EA8">
        <w:rPr>
          <w:rFonts w:ascii="Calibri" w:hAnsi="Calibri" w:cs="Calibri"/>
          <w:sz w:val="22"/>
          <w:szCs w:val="22"/>
        </w:rPr>
        <w:t xml:space="preserve">carrying RRC messages </w:t>
      </w:r>
      <w:r w:rsidR="00E272B2">
        <w:rPr>
          <w:rFonts w:ascii="Calibri" w:hAnsi="Calibri" w:cs="Calibri"/>
          <w:sz w:val="22"/>
          <w:szCs w:val="22"/>
        </w:rPr>
        <w:t xml:space="preserve">must still be used to configure the IAB-MT side. </w:t>
      </w:r>
      <w:r w:rsidR="00CD591D" w:rsidRPr="00CD591D">
        <w:rPr>
          <w:rFonts w:ascii="Calibri" w:hAnsi="Calibri" w:cs="Calibri"/>
          <w:sz w:val="22"/>
          <w:szCs w:val="22"/>
        </w:rPr>
        <w:t>Hence, the</w:t>
      </w:r>
      <w:r w:rsidR="00C47F76">
        <w:rPr>
          <w:rFonts w:ascii="Calibri" w:hAnsi="Calibri" w:cs="Calibri"/>
          <w:sz w:val="22"/>
          <w:szCs w:val="22"/>
        </w:rPr>
        <w:t xml:space="preserve"> signalling reduction ad</w:t>
      </w:r>
      <w:r w:rsidR="00CD591D" w:rsidRPr="00CD591D">
        <w:rPr>
          <w:rFonts w:ascii="Calibri" w:hAnsi="Calibri" w:cs="Calibri"/>
          <w:sz w:val="22"/>
          <w:szCs w:val="22"/>
        </w:rPr>
        <w:t xml:space="preserve">vantage </w:t>
      </w:r>
      <w:r w:rsidR="00C47F76">
        <w:rPr>
          <w:rFonts w:ascii="Calibri" w:hAnsi="Calibri" w:cs="Calibri"/>
          <w:sz w:val="22"/>
          <w:szCs w:val="22"/>
        </w:rPr>
        <w:t xml:space="preserve">claimed by the proponents of </w:t>
      </w:r>
      <w:r w:rsidR="00CD591D" w:rsidRPr="00CD591D">
        <w:rPr>
          <w:rFonts w:ascii="Calibri" w:hAnsi="Calibri" w:cs="Calibri"/>
          <w:sz w:val="22"/>
          <w:szCs w:val="22"/>
        </w:rPr>
        <w:t>NUA signalling for traffic mapping at donor DU and intermediate IAB nodes</w:t>
      </w:r>
      <w:r w:rsidR="00CD591D">
        <w:rPr>
          <w:rFonts w:ascii="Calibri" w:hAnsi="Calibri" w:cs="Calibri"/>
          <w:sz w:val="22"/>
          <w:szCs w:val="22"/>
        </w:rPr>
        <w:t xml:space="preserve"> </w:t>
      </w:r>
      <w:r w:rsidR="00996354">
        <w:rPr>
          <w:rFonts w:ascii="Calibri" w:hAnsi="Calibri" w:cs="Calibri"/>
          <w:sz w:val="22"/>
          <w:szCs w:val="22"/>
        </w:rPr>
        <w:t>is questionable</w:t>
      </w:r>
      <w:r w:rsidR="00CD591D">
        <w:rPr>
          <w:rFonts w:ascii="Calibri" w:hAnsi="Calibri" w:cs="Calibri"/>
          <w:sz w:val="22"/>
          <w:szCs w:val="22"/>
        </w:rPr>
        <w:t>.</w:t>
      </w:r>
    </w:p>
    <w:p w14:paraId="034BF723" w14:textId="0914E560" w:rsidR="00F013D2" w:rsidRDefault="00CD591D" w:rsidP="00F35928">
      <w:pPr>
        <w:pStyle w:val="BodyText"/>
        <w:jc w:val="left"/>
        <w:rPr>
          <w:rFonts w:ascii="Calibri" w:hAnsi="Calibri" w:cs="Calibri"/>
          <w:b/>
          <w:bCs/>
          <w:sz w:val="22"/>
          <w:szCs w:val="22"/>
        </w:rPr>
      </w:pPr>
      <w:r w:rsidRPr="00F11D41">
        <w:rPr>
          <w:rFonts w:ascii="Calibri" w:hAnsi="Calibri" w:cs="Calibri"/>
          <w:b/>
          <w:bCs/>
          <w:sz w:val="22"/>
          <w:szCs w:val="22"/>
        </w:rPr>
        <w:t xml:space="preserve">Observation 2: The </w:t>
      </w:r>
      <w:r w:rsidR="00F11D41" w:rsidRPr="00F11D41">
        <w:rPr>
          <w:rFonts w:ascii="Calibri" w:hAnsi="Calibri" w:cs="Calibri"/>
          <w:b/>
          <w:bCs/>
          <w:sz w:val="22"/>
          <w:szCs w:val="22"/>
        </w:rPr>
        <w:t xml:space="preserve">main benefit claimed by the proponents of NUA </w:t>
      </w:r>
      <w:r w:rsidRPr="00F11D41">
        <w:rPr>
          <w:rFonts w:ascii="Calibri" w:hAnsi="Calibri" w:cs="Calibri"/>
          <w:b/>
          <w:bCs/>
          <w:sz w:val="22"/>
          <w:szCs w:val="22"/>
        </w:rPr>
        <w:t>signalling</w:t>
      </w:r>
      <w:r w:rsidR="00F11D41" w:rsidRPr="00F11D41">
        <w:rPr>
          <w:rFonts w:ascii="Calibri" w:hAnsi="Calibri" w:cs="Calibri"/>
          <w:b/>
          <w:bCs/>
          <w:sz w:val="22"/>
          <w:szCs w:val="22"/>
        </w:rPr>
        <w:t xml:space="preserve"> for traffic mapping at donor DU and intermediate IAB nodes, i.e. signalling</w:t>
      </w:r>
      <w:r w:rsidRPr="00F11D41">
        <w:rPr>
          <w:rFonts w:ascii="Calibri" w:hAnsi="Calibri" w:cs="Calibri"/>
          <w:b/>
          <w:bCs/>
          <w:sz w:val="22"/>
          <w:szCs w:val="22"/>
        </w:rPr>
        <w:t xml:space="preserve"> reduction</w:t>
      </w:r>
      <w:r w:rsidR="00F11D41" w:rsidRPr="00F11D41">
        <w:rPr>
          <w:rFonts w:ascii="Calibri" w:hAnsi="Calibri" w:cs="Calibri"/>
          <w:b/>
          <w:bCs/>
          <w:sz w:val="22"/>
          <w:szCs w:val="22"/>
        </w:rPr>
        <w:t>, is questionable.</w:t>
      </w:r>
      <w:r w:rsidRPr="00F11D41">
        <w:rPr>
          <w:rFonts w:ascii="Calibri" w:hAnsi="Calibri" w:cs="Calibri"/>
          <w:b/>
          <w:bCs/>
          <w:sz w:val="22"/>
          <w:szCs w:val="22"/>
        </w:rPr>
        <w:t xml:space="preserve"> </w:t>
      </w:r>
    </w:p>
    <w:p w14:paraId="01B03765" w14:textId="40775A61" w:rsidR="00413A56" w:rsidRDefault="00413A56" w:rsidP="00F35928">
      <w:pPr>
        <w:pStyle w:val="BodyText"/>
        <w:jc w:val="left"/>
        <w:rPr>
          <w:rFonts w:ascii="Calibri" w:hAnsi="Calibri" w:cs="Calibri"/>
          <w:sz w:val="22"/>
          <w:szCs w:val="22"/>
        </w:rPr>
      </w:pPr>
      <w:r w:rsidRPr="00046408">
        <w:rPr>
          <w:rFonts w:ascii="Calibri" w:hAnsi="Calibri" w:cs="Calibri"/>
          <w:sz w:val="22"/>
          <w:szCs w:val="22"/>
        </w:rPr>
        <w:t>Finally, the papers R3-</w:t>
      </w:r>
      <w:r w:rsidR="00046408" w:rsidRPr="00046408">
        <w:rPr>
          <w:rFonts w:ascii="Calibri" w:hAnsi="Calibri" w:cs="Calibri"/>
          <w:sz w:val="22"/>
          <w:szCs w:val="22"/>
        </w:rPr>
        <w:t>203845, R3-203617 and R3-203156</w:t>
      </w:r>
      <w:r w:rsidR="00046408">
        <w:rPr>
          <w:rFonts w:ascii="Calibri" w:hAnsi="Calibri" w:cs="Calibri"/>
          <w:sz w:val="22"/>
          <w:szCs w:val="22"/>
        </w:rPr>
        <w:t xml:space="preserve"> propose </w:t>
      </w:r>
      <w:r w:rsidR="00241842">
        <w:rPr>
          <w:rFonts w:ascii="Calibri" w:hAnsi="Calibri" w:cs="Calibri"/>
          <w:sz w:val="22"/>
          <w:szCs w:val="22"/>
        </w:rPr>
        <w:t>a new F1AP signalling procedure</w:t>
      </w:r>
      <w:r w:rsidR="00B1061D">
        <w:rPr>
          <w:rFonts w:ascii="Calibri" w:hAnsi="Calibri" w:cs="Calibri"/>
          <w:sz w:val="22"/>
          <w:szCs w:val="22"/>
        </w:rPr>
        <w:t xml:space="preserve">s for updating the UP TNL information and UL backhaul information, which is </w:t>
      </w:r>
      <w:r w:rsidR="002E6C9A">
        <w:rPr>
          <w:rFonts w:ascii="Calibri" w:hAnsi="Calibri" w:cs="Calibri"/>
          <w:sz w:val="22"/>
          <w:szCs w:val="22"/>
        </w:rPr>
        <w:t>*</w:t>
      </w:r>
      <w:r w:rsidR="00B1061D">
        <w:rPr>
          <w:rFonts w:ascii="Calibri" w:hAnsi="Calibri" w:cs="Calibri"/>
          <w:sz w:val="22"/>
          <w:szCs w:val="22"/>
        </w:rPr>
        <w:t>e</w:t>
      </w:r>
      <w:r w:rsidR="00241842">
        <w:rPr>
          <w:rFonts w:ascii="Calibri" w:hAnsi="Calibri" w:cs="Calibri"/>
          <w:sz w:val="22"/>
          <w:szCs w:val="22"/>
        </w:rPr>
        <w:t>xactly</w:t>
      </w:r>
      <w:r w:rsidR="002E6C9A">
        <w:rPr>
          <w:rFonts w:ascii="Calibri" w:hAnsi="Calibri" w:cs="Calibri"/>
          <w:sz w:val="22"/>
          <w:szCs w:val="22"/>
        </w:rPr>
        <w:t>*</w:t>
      </w:r>
      <w:r w:rsidR="00241842">
        <w:rPr>
          <w:rFonts w:ascii="Calibri" w:hAnsi="Calibri" w:cs="Calibri"/>
          <w:sz w:val="22"/>
          <w:szCs w:val="22"/>
        </w:rPr>
        <w:t xml:space="preserve"> </w:t>
      </w:r>
      <w:r w:rsidR="00B1061D">
        <w:rPr>
          <w:rFonts w:ascii="Calibri" w:hAnsi="Calibri" w:cs="Calibri"/>
          <w:sz w:val="22"/>
          <w:szCs w:val="22"/>
        </w:rPr>
        <w:t>what the UE context management procedures in the IAB BL CR for TS 38.473 can achieve</w:t>
      </w:r>
      <w:r w:rsidR="002E6C9A">
        <w:rPr>
          <w:rFonts w:ascii="Calibri" w:hAnsi="Calibri" w:cs="Calibri"/>
          <w:sz w:val="22"/>
          <w:szCs w:val="22"/>
        </w:rPr>
        <w:t>, as pointed in paper R3-203525</w:t>
      </w:r>
      <w:r w:rsidR="00B1061D">
        <w:rPr>
          <w:rFonts w:ascii="Calibri" w:hAnsi="Calibri" w:cs="Calibri"/>
          <w:sz w:val="22"/>
          <w:szCs w:val="22"/>
        </w:rPr>
        <w:t>.</w:t>
      </w:r>
      <w:r w:rsidR="002E6C9A">
        <w:rPr>
          <w:rFonts w:ascii="Calibri" w:hAnsi="Calibri" w:cs="Calibri"/>
          <w:sz w:val="22"/>
          <w:szCs w:val="22"/>
        </w:rPr>
        <w:t xml:space="preserve"> Hence, t</w:t>
      </w:r>
      <w:r w:rsidR="00B1061D">
        <w:rPr>
          <w:rFonts w:ascii="Calibri" w:hAnsi="Calibri" w:cs="Calibri"/>
          <w:sz w:val="22"/>
          <w:szCs w:val="22"/>
        </w:rPr>
        <w:t>here is no reason to introduce new F1AP signalling</w:t>
      </w:r>
      <w:r w:rsidR="00A77FC1">
        <w:rPr>
          <w:rFonts w:ascii="Calibri" w:hAnsi="Calibri" w:cs="Calibri"/>
          <w:sz w:val="22"/>
          <w:szCs w:val="22"/>
        </w:rPr>
        <w:t xml:space="preserve"> for this purpose.</w:t>
      </w:r>
    </w:p>
    <w:p w14:paraId="0A13AD62" w14:textId="66BCCD57" w:rsidR="00A77FC1" w:rsidRPr="00A77FC1" w:rsidRDefault="00A77FC1" w:rsidP="00F35928">
      <w:pPr>
        <w:pStyle w:val="BodyText"/>
        <w:jc w:val="left"/>
        <w:rPr>
          <w:rFonts w:ascii="Calibri" w:hAnsi="Calibri" w:cs="Calibri"/>
          <w:b/>
          <w:bCs/>
          <w:sz w:val="22"/>
          <w:szCs w:val="22"/>
        </w:rPr>
      </w:pPr>
      <w:r w:rsidRPr="00A77FC1">
        <w:rPr>
          <w:rFonts w:ascii="Calibri" w:hAnsi="Calibri" w:cs="Calibri"/>
          <w:b/>
          <w:bCs/>
          <w:sz w:val="22"/>
          <w:szCs w:val="22"/>
        </w:rPr>
        <w:t xml:space="preserve">Observation 3: </w:t>
      </w:r>
      <w:r w:rsidR="00991C40">
        <w:rPr>
          <w:rFonts w:ascii="Calibri" w:hAnsi="Calibri" w:cs="Calibri"/>
          <w:b/>
          <w:bCs/>
          <w:sz w:val="22"/>
          <w:szCs w:val="22"/>
        </w:rPr>
        <w:t>P</w:t>
      </w:r>
      <w:r w:rsidRPr="00A77FC1">
        <w:rPr>
          <w:rFonts w:ascii="Calibri" w:hAnsi="Calibri" w:cs="Calibri"/>
          <w:b/>
          <w:bCs/>
          <w:sz w:val="22"/>
          <w:szCs w:val="22"/>
        </w:rPr>
        <w:t>apers R3-203845, R3-203617 and R3-203156 propose a new F1AP signalling procedure for updating the UP TNL information and UL backhaul information, which is exactly what the UE context management procedures in the IAB BL CR for TS 38.473 can achieve</w:t>
      </w:r>
      <w:r w:rsidR="00627CB2">
        <w:rPr>
          <w:rFonts w:ascii="Calibri" w:hAnsi="Calibri" w:cs="Calibri"/>
          <w:b/>
          <w:bCs/>
          <w:sz w:val="22"/>
          <w:szCs w:val="22"/>
        </w:rPr>
        <w:t xml:space="preserve"> as of today</w:t>
      </w:r>
      <w:r w:rsidRPr="00A77FC1">
        <w:rPr>
          <w:rFonts w:ascii="Calibri" w:hAnsi="Calibri" w:cs="Calibri"/>
          <w:b/>
          <w:bCs/>
          <w:sz w:val="22"/>
          <w:szCs w:val="22"/>
        </w:rPr>
        <w:t>.</w:t>
      </w:r>
    </w:p>
    <w:p w14:paraId="51F0E313" w14:textId="1F03EACF" w:rsidR="00490D97" w:rsidRDefault="00F013D2" w:rsidP="00F35928">
      <w:pPr>
        <w:pStyle w:val="BodyText"/>
        <w:jc w:val="left"/>
        <w:rPr>
          <w:rFonts w:ascii="Calibri" w:hAnsi="Calibri" w:cs="Calibri"/>
          <w:b/>
          <w:bCs/>
          <w:sz w:val="22"/>
          <w:szCs w:val="22"/>
        </w:rPr>
      </w:pPr>
      <w:r w:rsidRPr="00F013D2">
        <w:rPr>
          <w:rFonts w:ascii="Calibri" w:hAnsi="Calibri" w:cs="Calibri"/>
          <w:b/>
          <w:bCs/>
          <w:sz w:val="22"/>
          <w:szCs w:val="22"/>
        </w:rPr>
        <w:t>Proposal:</w:t>
      </w:r>
      <w:r w:rsidR="00264E8A">
        <w:rPr>
          <w:rFonts w:ascii="Calibri" w:hAnsi="Calibri" w:cs="Calibri"/>
          <w:b/>
          <w:bCs/>
          <w:sz w:val="22"/>
          <w:szCs w:val="22"/>
        </w:rPr>
        <w:t xml:space="preserve"> </w:t>
      </w:r>
      <w:r w:rsidR="00C6366F">
        <w:rPr>
          <w:rFonts w:ascii="Calibri" w:hAnsi="Calibri" w:cs="Calibri"/>
          <w:b/>
          <w:bCs/>
          <w:sz w:val="22"/>
          <w:szCs w:val="22"/>
        </w:rPr>
        <w:t>Change the abovementioned WAs so that U</w:t>
      </w:r>
      <w:r w:rsidR="00F3293D">
        <w:rPr>
          <w:rFonts w:ascii="Calibri" w:hAnsi="Calibri" w:cs="Calibri"/>
          <w:b/>
          <w:bCs/>
          <w:sz w:val="22"/>
          <w:szCs w:val="22"/>
        </w:rPr>
        <w:t>A signalling is used for the following purposes:</w:t>
      </w:r>
    </w:p>
    <w:p w14:paraId="4C32E4C0" w14:textId="77777777" w:rsidR="00F3293D" w:rsidRPr="00F3293D" w:rsidRDefault="00F3293D" w:rsidP="00F35928">
      <w:pPr>
        <w:pStyle w:val="BodyText"/>
        <w:numPr>
          <w:ilvl w:val="0"/>
          <w:numId w:val="39"/>
        </w:numPr>
        <w:jc w:val="left"/>
        <w:rPr>
          <w:rFonts w:ascii="Calibri" w:hAnsi="Calibri" w:cs="Calibri"/>
          <w:b/>
          <w:bCs/>
          <w:sz w:val="22"/>
          <w:szCs w:val="22"/>
        </w:rPr>
      </w:pPr>
      <w:r w:rsidRPr="00F3293D">
        <w:rPr>
          <w:rFonts w:ascii="Calibri" w:hAnsi="Calibri" w:cs="Calibri"/>
          <w:b/>
          <w:bCs/>
          <w:sz w:val="22"/>
          <w:szCs w:val="22"/>
        </w:rPr>
        <w:t>Traffic mapping at donor DU and intermediate IAB nodes;</w:t>
      </w:r>
    </w:p>
    <w:p w14:paraId="577E7BD4" w14:textId="55F1B406" w:rsidR="00F3293D" w:rsidRPr="00F3293D" w:rsidRDefault="00F3293D" w:rsidP="00F35928">
      <w:pPr>
        <w:pStyle w:val="BodyText"/>
        <w:numPr>
          <w:ilvl w:val="0"/>
          <w:numId w:val="39"/>
        </w:numPr>
        <w:jc w:val="left"/>
        <w:rPr>
          <w:rFonts w:ascii="Calibri" w:hAnsi="Calibri" w:cs="Calibri"/>
          <w:b/>
          <w:bCs/>
          <w:sz w:val="22"/>
          <w:szCs w:val="22"/>
        </w:rPr>
      </w:pPr>
      <w:r w:rsidRPr="00F3293D">
        <w:rPr>
          <w:rFonts w:ascii="Calibri" w:hAnsi="Calibri" w:cs="Calibri"/>
          <w:b/>
          <w:bCs/>
          <w:sz w:val="22"/>
          <w:szCs w:val="22"/>
        </w:rPr>
        <w:t>UP TNL information update at donor</w:t>
      </w:r>
      <w:r w:rsidR="00B1177D">
        <w:rPr>
          <w:rFonts w:ascii="Calibri" w:hAnsi="Calibri" w:cs="Calibri"/>
          <w:b/>
          <w:bCs/>
          <w:sz w:val="22"/>
          <w:szCs w:val="22"/>
        </w:rPr>
        <w:t xml:space="preserve"> </w:t>
      </w:r>
      <w:r w:rsidRPr="00F3293D">
        <w:rPr>
          <w:rFonts w:ascii="Calibri" w:hAnsi="Calibri" w:cs="Calibri"/>
          <w:b/>
          <w:bCs/>
          <w:sz w:val="22"/>
          <w:szCs w:val="22"/>
        </w:rPr>
        <w:t>CU-UP;</w:t>
      </w:r>
    </w:p>
    <w:p w14:paraId="2A616B4E" w14:textId="77777777" w:rsidR="00F3293D" w:rsidRPr="00F3293D" w:rsidRDefault="00F3293D" w:rsidP="00F35928">
      <w:pPr>
        <w:pStyle w:val="BodyText"/>
        <w:numPr>
          <w:ilvl w:val="0"/>
          <w:numId w:val="39"/>
        </w:numPr>
        <w:jc w:val="left"/>
        <w:rPr>
          <w:rFonts w:ascii="Calibri" w:hAnsi="Calibri" w:cs="Calibri"/>
          <w:b/>
          <w:bCs/>
          <w:sz w:val="22"/>
          <w:szCs w:val="22"/>
        </w:rPr>
      </w:pPr>
      <w:r w:rsidRPr="00F3293D">
        <w:rPr>
          <w:rFonts w:ascii="Calibri" w:hAnsi="Calibri" w:cs="Calibri"/>
          <w:b/>
          <w:bCs/>
          <w:sz w:val="22"/>
          <w:szCs w:val="22"/>
        </w:rPr>
        <w:t>UP TNL information update and BAP configuration info at IAB node.</w:t>
      </w:r>
    </w:p>
    <w:p w14:paraId="777603B8" w14:textId="379EA592" w:rsidR="00541B59" w:rsidRDefault="00541B59" w:rsidP="00F35928">
      <w:pPr>
        <w:pStyle w:val="Heading1"/>
        <w:rPr>
          <w:rFonts w:ascii="Calibri" w:hAnsi="Calibri" w:cs="Calibri"/>
          <w:sz w:val="40"/>
          <w:szCs w:val="40"/>
        </w:rPr>
      </w:pPr>
      <w:r>
        <w:rPr>
          <w:rFonts w:ascii="Calibri" w:hAnsi="Calibri" w:cs="Calibri"/>
          <w:sz w:val="40"/>
          <w:szCs w:val="40"/>
        </w:rPr>
        <w:t>Conclusions</w:t>
      </w:r>
    </w:p>
    <w:p w14:paraId="5C429732" w14:textId="4F3B51CC" w:rsidR="00541B59" w:rsidRDefault="00541B59" w:rsidP="00F35928">
      <w:pPr>
        <w:jc w:val="left"/>
        <w:rPr>
          <w:rFonts w:ascii="Calibri" w:hAnsi="Calibri" w:cs="Calibri"/>
          <w:sz w:val="22"/>
          <w:szCs w:val="22"/>
        </w:rPr>
      </w:pPr>
      <w:r w:rsidRPr="00F77341">
        <w:rPr>
          <w:rFonts w:ascii="Calibri" w:hAnsi="Calibri" w:cs="Calibri"/>
          <w:sz w:val="22"/>
          <w:szCs w:val="22"/>
        </w:rPr>
        <w:t xml:space="preserve">In this paper we discuss </w:t>
      </w:r>
      <w:r w:rsidR="00264E8A">
        <w:rPr>
          <w:rFonts w:ascii="Calibri" w:hAnsi="Calibri" w:cs="Calibri"/>
          <w:sz w:val="22"/>
          <w:szCs w:val="22"/>
        </w:rPr>
        <w:t xml:space="preserve">the </w:t>
      </w:r>
      <w:r w:rsidR="00265F81">
        <w:rPr>
          <w:rFonts w:ascii="Calibri" w:hAnsi="Calibri" w:cs="Calibri"/>
          <w:sz w:val="22"/>
          <w:szCs w:val="22"/>
        </w:rPr>
        <w:t>consequences of W</w:t>
      </w:r>
      <w:r w:rsidR="00F66914">
        <w:rPr>
          <w:rFonts w:ascii="Calibri" w:hAnsi="Calibri" w:cs="Calibri"/>
          <w:sz w:val="22"/>
          <w:szCs w:val="22"/>
        </w:rPr>
        <w:t>As from RAN3#107bis-e</w:t>
      </w:r>
      <w:r w:rsidR="00265F81">
        <w:rPr>
          <w:rFonts w:ascii="Calibri" w:hAnsi="Calibri" w:cs="Calibri"/>
          <w:sz w:val="22"/>
          <w:szCs w:val="22"/>
        </w:rPr>
        <w:t xml:space="preserve"> on </w:t>
      </w:r>
      <w:r w:rsidR="00F35928">
        <w:rPr>
          <w:rFonts w:ascii="Calibri" w:hAnsi="Calibri" w:cs="Calibri"/>
          <w:sz w:val="22"/>
          <w:szCs w:val="22"/>
        </w:rPr>
        <w:t xml:space="preserve">UP TNL information update at </w:t>
      </w:r>
      <w:r w:rsidR="00265F81">
        <w:rPr>
          <w:rFonts w:ascii="Calibri" w:hAnsi="Calibri" w:cs="Calibri"/>
          <w:sz w:val="22"/>
          <w:szCs w:val="22"/>
        </w:rPr>
        <w:t>intra-donor migration and traffic mapping at IAB-donor-DU and intermediate IAB nodes. We</w:t>
      </w:r>
      <w:r w:rsidR="00264E8A">
        <w:rPr>
          <w:rFonts w:ascii="Calibri" w:hAnsi="Calibri" w:cs="Calibri"/>
          <w:sz w:val="22"/>
          <w:szCs w:val="22"/>
        </w:rPr>
        <w:t xml:space="preserve"> observe the following:</w:t>
      </w:r>
    </w:p>
    <w:p w14:paraId="62D0BA42" w14:textId="77777777" w:rsidR="00A77FC1" w:rsidRPr="00A91C0A" w:rsidRDefault="00A77FC1" w:rsidP="00F35928">
      <w:pPr>
        <w:pStyle w:val="BodyText"/>
        <w:jc w:val="left"/>
        <w:rPr>
          <w:rFonts w:ascii="Calibri" w:hAnsi="Calibri" w:cs="Calibri"/>
          <w:b/>
          <w:bCs/>
          <w:sz w:val="22"/>
          <w:szCs w:val="22"/>
        </w:rPr>
      </w:pPr>
      <w:r w:rsidRPr="00F013D2">
        <w:rPr>
          <w:rFonts w:ascii="Calibri" w:hAnsi="Calibri" w:cs="Calibri"/>
          <w:b/>
          <w:bCs/>
          <w:sz w:val="22"/>
          <w:szCs w:val="22"/>
        </w:rPr>
        <w:t>Observation 1:</w:t>
      </w:r>
      <w:r>
        <w:rPr>
          <w:rFonts w:ascii="Calibri" w:hAnsi="Calibri" w:cs="Calibri"/>
          <w:b/>
          <w:bCs/>
          <w:sz w:val="22"/>
          <w:szCs w:val="22"/>
        </w:rPr>
        <w:t xml:space="preserve"> The consequence of WA </w:t>
      </w:r>
      <w:r w:rsidRPr="00A91C0A">
        <w:rPr>
          <w:rFonts w:ascii="Calibri" w:hAnsi="Calibri" w:cs="Calibri"/>
          <w:b/>
          <w:bCs/>
          <w:sz w:val="22"/>
          <w:szCs w:val="22"/>
        </w:rPr>
        <w:t>for traffic mapping at donor DU and intermediate IAB nodes</w:t>
      </w:r>
      <w:r>
        <w:rPr>
          <w:rFonts w:ascii="Calibri" w:hAnsi="Calibri" w:cs="Calibri"/>
          <w:b/>
          <w:bCs/>
          <w:sz w:val="22"/>
          <w:szCs w:val="22"/>
        </w:rPr>
        <w:t xml:space="preserve">, </w:t>
      </w:r>
      <w:r w:rsidRPr="00514688">
        <w:rPr>
          <w:rFonts w:ascii="Calibri" w:hAnsi="Calibri" w:cs="Calibri"/>
          <w:b/>
          <w:bCs/>
          <w:sz w:val="22"/>
          <w:szCs w:val="22"/>
        </w:rPr>
        <w:t>allowing to carry the</w:t>
      </w:r>
      <w:r>
        <w:rPr>
          <w:rFonts w:ascii="Calibri" w:hAnsi="Calibri" w:cs="Calibri"/>
          <w:b/>
          <w:bCs/>
          <w:sz w:val="22"/>
          <w:szCs w:val="22"/>
        </w:rPr>
        <w:t xml:space="preserve"> mapping</w:t>
      </w:r>
      <w:r w:rsidRPr="00514688">
        <w:rPr>
          <w:rFonts w:ascii="Calibri" w:hAnsi="Calibri" w:cs="Calibri"/>
          <w:b/>
          <w:bCs/>
          <w:sz w:val="22"/>
          <w:szCs w:val="22"/>
        </w:rPr>
        <w:t xml:space="preserve"> configuration IE in both UA and NUA messages, is that two different configurations pertaining to the same BH RLC channel,</w:t>
      </w:r>
      <w:r>
        <w:rPr>
          <w:rFonts w:ascii="Calibri" w:hAnsi="Calibri" w:cs="Calibri"/>
          <w:b/>
          <w:bCs/>
          <w:sz w:val="22"/>
          <w:szCs w:val="22"/>
        </w:rPr>
        <w:t xml:space="preserve"> one carried in a NUA and one carried in a UA message, may</w:t>
      </w:r>
      <w:r w:rsidRPr="00514688">
        <w:rPr>
          <w:rFonts w:ascii="Calibri" w:hAnsi="Calibri" w:cs="Calibri"/>
          <w:b/>
          <w:bCs/>
          <w:sz w:val="22"/>
          <w:szCs w:val="22"/>
        </w:rPr>
        <w:t xml:space="preserve"> arrive at the destination in the reverse order with respect to the order in which they are sent</w:t>
      </w:r>
      <w:r>
        <w:rPr>
          <w:rFonts w:ascii="Calibri" w:hAnsi="Calibri" w:cs="Calibri"/>
          <w:b/>
          <w:bCs/>
          <w:sz w:val="22"/>
          <w:szCs w:val="22"/>
        </w:rPr>
        <w:t>.</w:t>
      </w:r>
    </w:p>
    <w:p w14:paraId="483DB043" w14:textId="77777777" w:rsidR="00A77FC1" w:rsidRDefault="00A77FC1" w:rsidP="00F35928">
      <w:pPr>
        <w:pStyle w:val="BodyText"/>
        <w:jc w:val="left"/>
        <w:rPr>
          <w:rFonts w:ascii="Calibri" w:hAnsi="Calibri" w:cs="Calibri"/>
          <w:b/>
          <w:bCs/>
          <w:sz w:val="22"/>
          <w:szCs w:val="22"/>
        </w:rPr>
      </w:pPr>
      <w:r w:rsidRPr="00F11D41">
        <w:rPr>
          <w:rFonts w:ascii="Calibri" w:hAnsi="Calibri" w:cs="Calibri"/>
          <w:b/>
          <w:bCs/>
          <w:sz w:val="22"/>
          <w:szCs w:val="22"/>
        </w:rPr>
        <w:t xml:space="preserve">Observation 2: The main benefit claimed by the proponents of NUA signalling for traffic mapping at donor DU and intermediate IAB nodes, i.e. signalling reduction, is questionable. </w:t>
      </w:r>
    </w:p>
    <w:p w14:paraId="6A094C7C" w14:textId="79493C2E" w:rsidR="00A77FC1" w:rsidRPr="00A77FC1" w:rsidRDefault="00A77FC1" w:rsidP="00F35928">
      <w:pPr>
        <w:pStyle w:val="BodyText"/>
        <w:jc w:val="left"/>
        <w:rPr>
          <w:rFonts w:ascii="Calibri" w:hAnsi="Calibri" w:cs="Calibri"/>
          <w:b/>
          <w:bCs/>
          <w:sz w:val="22"/>
          <w:szCs w:val="22"/>
        </w:rPr>
      </w:pPr>
      <w:r w:rsidRPr="00A77FC1">
        <w:rPr>
          <w:rFonts w:ascii="Calibri" w:hAnsi="Calibri" w:cs="Calibri"/>
          <w:b/>
          <w:bCs/>
          <w:sz w:val="22"/>
          <w:szCs w:val="22"/>
        </w:rPr>
        <w:t xml:space="preserve">Observation 3: </w:t>
      </w:r>
      <w:r w:rsidR="00991C40">
        <w:rPr>
          <w:rFonts w:ascii="Calibri" w:hAnsi="Calibri" w:cs="Calibri"/>
          <w:b/>
          <w:bCs/>
          <w:sz w:val="22"/>
          <w:szCs w:val="22"/>
        </w:rPr>
        <w:t>P</w:t>
      </w:r>
      <w:r w:rsidRPr="00A77FC1">
        <w:rPr>
          <w:rFonts w:ascii="Calibri" w:hAnsi="Calibri" w:cs="Calibri"/>
          <w:b/>
          <w:bCs/>
          <w:sz w:val="22"/>
          <w:szCs w:val="22"/>
        </w:rPr>
        <w:t>apers R3-203845, R3-203617 and R3-203156 propose a new F1AP signalling procedures for updating the UP TNL information and UL backhaul information, which is exactly what the UE context management procedures in the IAB BL CR for TS 38.473 can achieve</w:t>
      </w:r>
      <w:r w:rsidR="00627CB2">
        <w:rPr>
          <w:rFonts w:ascii="Calibri" w:hAnsi="Calibri" w:cs="Calibri"/>
          <w:b/>
          <w:bCs/>
          <w:sz w:val="22"/>
          <w:szCs w:val="22"/>
        </w:rPr>
        <w:t xml:space="preserve"> as of today</w:t>
      </w:r>
      <w:bookmarkStart w:id="1" w:name="_GoBack"/>
      <w:bookmarkEnd w:id="1"/>
      <w:r w:rsidRPr="00A77FC1">
        <w:rPr>
          <w:rFonts w:ascii="Calibri" w:hAnsi="Calibri" w:cs="Calibri"/>
          <w:b/>
          <w:bCs/>
          <w:sz w:val="22"/>
          <w:szCs w:val="22"/>
        </w:rPr>
        <w:t>.</w:t>
      </w:r>
    </w:p>
    <w:p w14:paraId="710C7627" w14:textId="2204BBF0" w:rsidR="00541B59" w:rsidRDefault="00541B59" w:rsidP="00F35928">
      <w:pPr>
        <w:jc w:val="left"/>
        <w:rPr>
          <w:rFonts w:ascii="Calibri" w:hAnsi="Calibri" w:cs="Calibri"/>
          <w:sz w:val="22"/>
          <w:szCs w:val="22"/>
        </w:rPr>
      </w:pPr>
      <w:r w:rsidRPr="00F77341">
        <w:rPr>
          <w:rFonts w:ascii="Calibri" w:hAnsi="Calibri" w:cs="Calibri"/>
          <w:sz w:val="22"/>
          <w:szCs w:val="22"/>
        </w:rPr>
        <w:t xml:space="preserve">Based on the </w:t>
      </w:r>
      <w:r w:rsidR="00264E8A">
        <w:rPr>
          <w:rFonts w:ascii="Calibri" w:hAnsi="Calibri" w:cs="Calibri"/>
          <w:sz w:val="22"/>
          <w:szCs w:val="22"/>
        </w:rPr>
        <w:t>observations</w:t>
      </w:r>
      <w:r w:rsidRPr="00F77341">
        <w:rPr>
          <w:rFonts w:ascii="Calibri" w:hAnsi="Calibri" w:cs="Calibri"/>
          <w:sz w:val="22"/>
          <w:szCs w:val="22"/>
        </w:rPr>
        <w:t>, the following is proposed:</w:t>
      </w:r>
    </w:p>
    <w:p w14:paraId="6872B807" w14:textId="77777777" w:rsidR="00320035" w:rsidRDefault="00320035" w:rsidP="00F35928">
      <w:pPr>
        <w:pStyle w:val="BodyText"/>
        <w:jc w:val="left"/>
        <w:rPr>
          <w:rFonts w:ascii="Calibri" w:hAnsi="Calibri" w:cs="Calibri"/>
          <w:b/>
          <w:bCs/>
          <w:sz w:val="22"/>
          <w:szCs w:val="22"/>
        </w:rPr>
      </w:pPr>
      <w:r w:rsidRPr="00F013D2">
        <w:rPr>
          <w:rFonts w:ascii="Calibri" w:hAnsi="Calibri" w:cs="Calibri"/>
          <w:b/>
          <w:bCs/>
          <w:sz w:val="22"/>
          <w:szCs w:val="22"/>
        </w:rPr>
        <w:t>Proposal:</w:t>
      </w:r>
      <w:r>
        <w:rPr>
          <w:rFonts w:ascii="Calibri" w:hAnsi="Calibri" w:cs="Calibri"/>
          <w:b/>
          <w:bCs/>
          <w:sz w:val="22"/>
          <w:szCs w:val="22"/>
        </w:rPr>
        <w:t xml:space="preserve"> Change the abovementioned WAs so that UA signalling is used for the following purposes:</w:t>
      </w:r>
    </w:p>
    <w:p w14:paraId="140AE50C" w14:textId="77777777" w:rsidR="00320035" w:rsidRPr="00F3293D" w:rsidRDefault="00320035" w:rsidP="00F35928">
      <w:pPr>
        <w:pStyle w:val="BodyText"/>
        <w:numPr>
          <w:ilvl w:val="0"/>
          <w:numId w:val="39"/>
        </w:numPr>
        <w:jc w:val="left"/>
        <w:rPr>
          <w:rFonts w:ascii="Calibri" w:hAnsi="Calibri" w:cs="Calibri"/>
          <w:b/>
          <w:bCs/>
          <w:sz w:val="22"/>
          <w:szCs w:val="22"/>
        </w:rPr>
      </w:pPr>
      <w:r w:rsidRPr="00F3293D">
        <w:rPr>
          <w:rFonts w:ascii="Calibri" w:hAnsi="Calibri" w:cs="Calibri"/>
          <w:b/>
          <w:bCs/>
          <w:sz w:val="22"/>
          <w:szCs w:val="22"/>
        </w:rPr>
        <w:t>Traffic mapping at donor DU and intermediate IAB nodes;</w:t>
      </w:r>
    </w:p>
    <w:p w14:paraId="0101C48C" w14:textId="4E13E8D2" w:rsidR="00320035" w:rsidRPr="00F3293D" w:rsidRDefault="00320035" w:rsidP="00F35928">
      <w:pPr>
        <w:pStyle w:val="BodyText"/>
        <w:numPr>
          <w:ilvl w:val="0"/>
          <w:numId w:val="39"/>
        </w:numPr>
        <w:jc w:val="left"/>
        <w:rPr>
          <w:rFonts w:ascii="Calibri" w:hAnsi="Calibri" w:cs="Calibri"/>
          <w:b/>
          <w:bCs/>
          <w:sz w:val="22"/>
          <w:szCs w:val="22"/>
        </w:rPr>
      </w:pPr>
      <w:r w:rsidRPr="00F3293D">
        <w:rPr>
          <w:rFonts w:ascii="Calibri" w:hAnsi="Calibri" w:cs="Calibri"/>
          <w:b/>
          <w:bCs/>
          <w:sz w:val="22"/>
          <w:szCs w:val="22"/>
        </w:rPr>
        <w:t>UP TNL information update at donor</w:t>
      </w:r>
      <w:r w:rsidR="00B1177D">
        <w:rPr>
          <w:rFonts w:ascii="Calibri" w:hAnsi="Calibri" w:cs="Calibri"/>
          <w:b/>
          <w:bCs/>
          <w:sz w:val="22"/>
          <w:szCs w:val="22"/>
        </w:rPr>
        <w:t xml:space="preserve"> </w:t>
      </w:r>
      <w:r w:rsidRPr="00F3293D">
        <w:rPr>
          <w:rFonts w:ascii="Calibri" w:hAnsi="Calibri" w:cs="Calibri"/>
          <w:b/>
          <w:bCs/>
          <w:sz w:val="22"/>
          <w:szCs w:val="22"/>
        </w:rPr>
        <w:t>CU-UP;</w:t>
      </w:r>
    </w:p>
    <w:p w14:paraId="51ACC94C" w14:textId="38AEBAB4" w:rsidR="001453A5" w:rsidRPr="00364020" w:rsidRDefault="00320035" w:rsidP="00F35928">
      <w:pPr>
        <w:pStyle w:val="BodyText"/>
        <w:numPr>
          <w:ilvl w:val="0"/>
          <w:numId w:val="39"/>
        </w:numPr>
        <w:jc w:val="left"/>
        <w:rPr>
          <w:rFonts w:ascii="Calibri" w:hAnsi="Calibri" w:cs="Calibri"/>
          <w:b/>
          <w:bCs/>
          <w:sz w:val="22"/>
          <w:szCs w:val="22"/>
        </w:rPr>
      </w:pPr>
      <w:r w:rsidRPr="00F3293D">
        <w:rPr>
          <w:rFonts w:ascii="Calibri" w:hAnsi="Calibri" w:cs="Calibri"/>
          <w:b/>
          <w:bCs/>
          <w:sz w:val="22"/>
          <w:szCs w:val="22"/>
        </w:rPr>
        <w:t>UP TNL information update and BAP configuration info at IAB node.</w:t>
      </w:r>
    </w:p>
    <w:sectPr w:rsidR="001453A5" w:rsidRPr="00364020" w:rsidSect="001453A5">
      <w:headerReference w:type="even" r:id="rId11"/>
      <w:footerReference w:type="default" r:id="rId12"/>
      <w:footnotePr>
        <w:numRestart w:val="eachSect"/>
      </w:footnotePr>
      <w:pgSz w:w="11907" w:h="16840" w:code="9"/>
      <w:pgMar w:top="90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460E9" w14:textId="77777777" w:rsidR="00674123" w:rsidRDefault="00674123">
      <w:r>
        <w:separator/>
      </w:r>
    </w:p>
  </w:endnote>
  <w:endnote w:type="continuationSeparator" w:id="0">
    <w:p w14:paraId="12FA01E8" w14:textId="77777777" w:rsidR="00674123" w:rsidRDefault="00674123">
      <w:r>
        <w:continuationSeparator/>
      </w:r>
    </w:p>
  </w:endnote>
  <w:endnote w:type="continuationNotice" w:id="1">
    <w:p w14:paraId="42306495" w14:textId="77777777" w:rsidR="00674123" w:rsidRDefault="00674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1A5D1C" w:rsidRDefault="001A5D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29BB8" w14:textId="77777777" w:rsidR="00674123" w:rsidRDefault="00674123">
      <w:r>
        <w:separator/>
      </w:r>
    </w:p>
  </w:footnote>
  <w:footnote w:type="continuationSeparator" w:id="0">
    <w:p w14:paraId="715CCE9F" w14:textId="77777777" w:rsidR="00674123" w:rsidRDefault="00674123">
      <w:r>
        <w:continuationSeparator/>
      </w:r>
    </w:p>
  </w:footnote>
  <w:footnote w:type="continuationNotice" w:id="1">
    <w:p w14:paraId="23EFBBE6" w14:textId="77777777" w:rsidR="00674123" w:rsidRDefault="00674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1A5D1C" w:rsidRDefault="001A5D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8B1D6A"/>
    <w:multiLevelType w:val="hybridMultilevel"/>
    <w:tmpl w:val="23C4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361D39"/>
    <w:multiLevelType w:val="hybridMultilevel"/>
    <w:tmpl w:val="9B4647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35D5947"/>
    <w:multiLevelType w:val="hybridMultilevel"/>
    <w:tmpl w:val="94144D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5857BA"/>
    <w:multiLevelType w:val="hybridMultilevel"/>
    <w:tmpl w:val="72D029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CA78E2"/>
    <w:multiLevelType w:val="hybridMultilevel"/>
    <w:tmpl w:val="72B03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4"/>
  </w:num>
  <w:num w:numId="3">
    <w:abstractNumId w:val="18"/>
  </w:num>
  <w:num w:numId="4">
    <w:abstractNumId w:val="19"/>
  </w:num>
  <w:num w:numId="5">
    <w:abstractNumId w:val="15"/>
  </w:num>
  <w:num w:numId="6">
    <w:abstractNumId w:val="21"/>
  </w:num>
  <w:num w:numId="7">
    <w:abstractNumId w:val="32"/>
  </w:num>
  <w:num w:numId="8">
    <w:abstractNumId w:val="16"/>
  </w:num>
  <w:num w:numId="9">
    <w:abstractNumId w:val="26"/>
  </w:num>
  <w:num w:numId="10">
    <w:abstractNumId w:val="33"/>
  </w:num>
  <w:num w:numId="11">
    <w:abstractNumId w:val="23"/>
  </w:num>
  <w:num w:numId="12">
    <w:abstractNumId w:val="3"/>
  </w:num>
  <w:num w:numId="13">
    <w:abstractNumId w:val="39"/>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9"/>
  </w:num>
  <w:num w:numId="19">
    <w:abstractNumId w:val="31"/>
  </w:num>
  <w:num w:numId="20">
    <w:abstractNumId w:val="38"/>
  </w:num>
  <w:num w:numId="21">
    <w:abstractNumId w:val="3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2"/>
  </w:num>
  <w:num w:numId="24">
    <w:abstractNumId w:val="25"/>
  </w:num>
  <w:num w:numId="25">
    <w:abstractNumId w:val="36"/>
  </w:num>
  <w:num w:numId="26">
    <w:abstractNumId w:val="7"/>
  </w:num>
  <w:num w:numId="27">
    <w:abstractNumId w:val="6"/>
  </w:num>
  <w:num w:numId="28">
    <w:abstractNumId w:val="27"/>
  </w:num>
  <w:num w:numId="29">
    <w:abstractNumId w:val="0"/>
  </w:num>
  <w:num w:numId="30">
    <w:abstractNumId w:val="5"/>
  </w:num>
  <w:num w:numId="31">
    <w:abstractNumId w:val="10"/>
  </w:num>
  <w:num w:numId="32">
    <w:abstractNumId w:val="8"/>
  </w:num>
  <w:num w:numId="33">
    <w:abstractNumId w:val="1"/>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34">
    <w:abstractNumId w:val="28"/>
  </w:num>
  <w:num w:numId="35">
    <w:abstractNumId w:val="11"/>
  </w:num>
  <w:num w:numId="36">
    <w:abstractNumId w:val="13"/>
  </w:num>
  <w:num w:numId="37">
    <w:abstractNumId w:val="20"/>
  </w:num>
  <w:num w:numId="38">
    <w:abstractNumId w:val="14"/>
  </w:num>
  <w:num w:numId="39">
    <w:abstractNumId w:val="29"/>
  </w:num>
  <w:num w:numId="40">
    <w:abstractNumId w:val="37"/>
  </w:num>
  <w:num w:numId="41">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67"/>
    <w:rsid w:val="00017BC1"/>
    <w:rsid w:val="00020819"/>
    <w:rsid w:val="0002088C"/>
    <w:rsid w:val="00020FC0"/>
    <w:rsid w:val="000212A2"/>
    <w:rsid w:val="000219C7"/>
    <w:rsid w:val="00021FEB"/>
    <w:rsid w:val="000226EB"/>
    <w:rsid w:val="000242BA"/>
    <w:rsid w:val="00024B15"/>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3B7"/>
    <w:rsid w:val="0004350B"/>
    <w:rsid w:val="0004367E"/>
    <w:rsid w:val="00043E39"/>
    <w:rsid w:val="000442FD"/>
    <w:rsid w:val="000444EF"/>
    <w:rsid w:val="00045BAE"/>
    <w:rsid w:val="00045EB5"/>
    <w:rsid w:val="000461C1"/>
    <w:rsid w:val="00046371"/>
    <w:rsid w:val="00046408"/>
    <w:rsid w:val="000467A3"/>
    <w:rsid w:val="00047C1D"/>
    <w:rsid w:val="000505C9"/>
    <w:rsid w:val="0005153D"/>
    <w:rsid w:val="00051A5C"/>
    <w:rsid w:val="00051FF5"/>
    <w:rsid w:val="00052A07"/>
    <w:rsid w:val="000531B0"/>
    <w:rsid w:val="000534E3"/>
    <w:rsid w:val="00053FD2"/>
    <w:rsid w:val="0005454F"/>
    <w:rsid w:val="0005548F"/>
    <w:rsid w:val="000555C2"/>
    <w:rsid w:val="0005606A"/>
    <w:rsid w:val="00057117"/>
    <w:rsid w:val="00057CF8"/>
    <w:rsid w:val="000601AA"/>
    <w:rsid w:val="000604AA"/>
    <w:rsid w:val="000609D0"/>
    <w:rsid w:val="000610B6"/>
    <w:rsid w:val="0006152B"/>
    <w:rsid w:val="000616E7"/>
    <w:rsid w:val="00062748"/>
    <w:rsid w:val="00062C96"/>
    <w:rsid w:val="00063F5C"/>
    <w:rsid w:val="000646B2"/>
    <w:rsid w:val="000647E7"/>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B7613"/>
    <w:rsid w:val="000C07D6"/>
    <w:rsid w:val="000C0B2E"/>
    <w:rsid w:val="000C13E3"/>
    <w:rsid w:val="000C15BC"/>
    <w:rsid w:val="000C165A"/>
    <w:rsid w:val="000C2E19"/>
    <w:rsid w:val="000C2ED8"/>
    <w:rsid w:val="000C34F8"/>
    <w:rsid w:val="000C3F6C"/>
    <w:rsid w:val="000C421A"/>
    <w:rsid w:val="000C483D"/>
    <w:rsid w:val="000C4AE2"/>
    <w:rsid w:val="000C4B39"/>
    <w:rsid w:val="000C5958"/>
    <w:rsid w:val="000C5F55"/>
    <w:rsid w:val="000C6F5F"/>
    <w:rsid w:val="000C7EB4"/>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395"/>
    <w:rsid w:val="000E1E92"/>
    <w:rsid w:val="000E291B"/>
    <w:rsid w:val="000E34ED"/>
    <w:rsid w:val="000E415C"/>
    <w:rsid w:val="000E420E"/>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1CDD"/>
    <w:rsid w:val="00102D88"/>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12BC"/>
    <w:rsid w:val="00142675"/>
    <w:rsid w:val="00142A57"/>
    <w:rsid w:val="0014368F"/>
    <w:rsid w:val="00143B3A"/>
    <w:rsid w:val="001443A8"/>
    <w:rsid w:val="001453A5"/>
    <w:rsid w:val="00145A90"/>
    <w:rsid w:val="001478C8"/>
    <w:rsid w:val="00147CAD"/>
    <w:rsid w:val="001506D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3A4"/>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B"/>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0"/>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7B"/>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1DFC"/>
    <w:rsid w:val="0023274E"/>
    <w:rsid w:val="00232823"/>
    <w:rsid w:val="00232E78"/>
    <w:rsid w:val="00233335"/>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842"/>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CF6"/>
    <w:rsid w:val="00261FC8"/>
    <w:rsid w:val="002624F0"/>
    <w:rsid w:val="00263069"/>
    <w:rsid w:val="00263106"/>
    <w:rsid w:val="002634F5"/>
    <w:rsid w:val="00263BD6"/>
    <w:rsid w:val="00264228"/>
    <w:rsid w:val="00264334"/>
    <w:rsid w:val="0026473E"/>
    <w:rsid w:val="002648F7"/>
    <w:rsid w:val="00264BEA"/>
    <w:rsid w:val="00264DD0"/>
    <w:rsid w:val="00264E8A"/>
    <w:rsid w:val="0026583E"/>
    <w:rsid w:val="00265F81"/>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479"/>
    <w:rsid w:val="002737F4"/>
    <w:rsid w:val="002738A1"/>
    <w:rsid w:val="00274B7B"/>
    <w:rsid w:val="00274E1D"/>
    <w:rsid w:val="00276B69"/>
    <w:rsid w:val="00276C20"/>
    <w:rsid w:val="002776C2"/>
    <w:rsid w:val="0027787B"/>
    <w:rsid w:val="002805F5"/>
    <w:rsid w:val="00280751"/>
    <w:rsid w:val="00280E2B"/>
    <w:rsid w:val="0028280A"/>
    <w:rsid w:val="00282CF1"/>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421"/>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2E38"/>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6AAB"/>
    <w:rsid w:val="002E6C9A"/>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055"/>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035"/>
    <w:rsid w:val="003203ED"/>
    <w:rsid w:val="003216A0"/>
    <w:rsid w:val="00321E7E"/>
    <w:rsid w:val="00321F75"/>
    <w:rsid w:val="00322985"/>
    <w:rsid w:val="00322C9F"/>
    <w:rsid w:val="00322D09"/>
    <w:rsid w:val="003234C8"/>
    <w:rsid w:val="003238C0"/>
    <w:rsid w:val="00323DBE"/>
    <w:rsid w:val="00323F80"/>
    <w:rsid w:val="0032419E"/>
    <w:rsid w:val="003243A6"/>
    <w:rsid w:val="00324456"/>
    <w:rsid w:val="00324D23"/>
    <w:rsid w:val="00324DD4"/>
    <w:rsid w:val="003250A8"/>
    <w:rsid w:val="00325967"/>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020"/>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1B4"/>
    <w:rsid w:val="003958F1"/>
    <w:rsid w:val="00395AF3"/>
    <w:rsid w:val="00396349"/>
    <w:rsid w:val="003966CF"/>
    <w:rsid w:val="003969B8"/>
    <w:rsid w:val="00396A05"/>
    <w:rsid w:val="00396B88"/>
    <w:rsid w:val="00397097"/>
    <w:rsid w:val="003974B3"/>
    <w:rsid w:val="00397534"/>
    <w:rsid w:val="003976C8"/>
    <w:rsid w:val="00397EAC"/>
    <w:rsid w:val="003A03D0"/>
    <w:rsid w:val="003A05E6"/>
    <w:rsid w:val="003A0790"/>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059"/>
    <w:rsid w:val="003B359D"/>
    <w:rsid w:val="003B369F"/>
    <w:rsid w:val="003B36A3"/>
    <w:rsid w:val="003B38FF"/>
    <w:rsid w:val="003B3CD4"/>
    <w:rsid w:val="003B4536"/>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C7A0A"/>
    <w:rsid w:val="003D0721"/>
    <w:rsid w:val="003D0761"/>
    <w:rsid w:val="003D109F"/>
    <w:rsid w:val="003D10AD"/>
    <w:rsid w:val="003D12BB"/>
    <w:rsid w:val="003D1650"/>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76C"/>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66B8"/>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56"/>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0D34"/>
    <w:rsid w:val="00440FFF"/>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1D2"/>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D97"/>
    <w:rsid w:val="00490E72"/>
    <w:rsid w:val="00491CAE"/>
    <w:rsid w:val="00491E5D"/>
    <w:rsid w:val="00492025"/>
    <w:rsid w:val="00492555"/>
    <w:rsid w:val="00492BC5"/>
    <w:rsid w:val="00492D58"/>
    <w:rsid w:val="00493BE5"/>
    <w:rsid w:val="0049486F"/>
    <w:rsid w:val="00494E23"/>
    <w:rsid w:val="00494F80"/>
    <w:rsid w:val="00495683"/>
    <w:rsid w:val="004959B3"/>
    <w:rsid w:val="004964F1"/>
    <w:rsid w:val="004973CE"/>
    <w:rsid w:val="004A0A6D"/>
    <w:rsid w:val="004A16BC"/>
    <w:rsid w:val="004A1C96"/>
    <w:rsid w:val="004A1E94"/>
    <w:rsid w:val="004A2A89"/>
    <w:rsid w:val="004A2B94"/>
    <w:rsid w:val="004A3659"/>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490"/>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5C38"/>
    <w:rsid w:val="004F66A4"/>
    <w:rsid w:val="004F6C6C"/>
    <w:rsid w:val="004F72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688"/>
    <w:rsid w:val="0051487C"/>
    <w:rsid w:val="00514C08"/>
    <w:rsid w:val="005153A7"/>
    <w:rsid w:val="005155EB"/>
    <w:rsid w:val="005161FD"/>
    <w:rsid w:val="0051627E"/>
    <w:rsid w:val="0051680E"/>
    <w:rsid w:val="00516D60"/>
    <w:rsid w:val="00516FAD"/>
    <w:rsid w:val="00517442"/>
    <w:rsid w:val="005177B7"/>
    <w:rsid w:val="00517ACA"/>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7CE"/>
    <w:rsid w:val="005C1EC8"/>
    <w:rsid w:val="005C3587"/>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27CB2"/>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61"/>
    <w:rsid w:val="00643449"/>
    <w:rsid w:val="00643475"/>
    <w:rsid w:val="0064361D"/>
    <w:rsid w:val="0064396A"/>
    <w:rsid w:val="0064452F"/>
    <w:rsid w:val="00644773"/>
    <w:rsid w:val="0064525E"/>
    <w:rsid w:val="00645E14"/>
    <w:rsid w:val="0064624E"/>
    <w:rsid w:val="0064720D"/>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A77"/>
    <w:rsid w:val="00671F7E"/>
    <w:rsid w:val="0067203F"/>
    <w:rsid w:val="0067218F"/>
    <w:rsid w:val="006723DA"/>
    <w:rsid w:val="00672FF3"/>
    <w:rsid w:val="00673145"/>
    <w:rsid w:val="00674123"/>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3734"/>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EE7"/>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19ED"/>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3DD4"/>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1D32"/>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A67"/>
    <w:rsid w:val="007A5C47"/>
    <w:rsid w:val="007A71B0"/>
    <w:rsid w:val="007A71FE"/>
    <w:rsid w:val="007A7BDD"/>
    <w:rsid w:val="007B03B4"/>
    <w:rsid w:val="007B0F7E"/>
    <w:rsid w:val="007B10C3"/>
    <w:rsid w:val="007B1565"/>
    <w:rsid w:val="007B1661"/>
    <w:rsid w:val="007B1B6A"/>
    <w:rsid w:val="007B231D"/>
    <w:rsid w:val="007B2ECF"/>
    <w:rsid w:val="007B3817"/>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049"/>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920"/>
    <w:rsid w:val="00802B60"/>
    <w:rsid w:val="00803DD8"/>
    <w:rsid w:val="00803F20"/>
    <w:rsid w:val="00803FAE"/>
    <w:rsid w:val="008054BC"/>
    <w:rsid w:val="00805F5D"/>
    <w:rsid w:val="0080605F"/>
    <w:rsid w:val="00806C86"/>
    <w:rsid w:val="00806F3E"/>
    <w:rsid w:val="00806F4B"/>
    <w:rsid w:val="0080763E"/>
    <w:rsid w:val="00807786"/>
    <w:rsid w:val="00807A73"/>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672"/>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114"/>
    <w:rsid w:val="00887B50"/>
    <w:rsid w:val="0089036F"/>
    <w:rsid w:val="00891466"/>
    <w:rsid w:val="0089412C"/>
    <w:rsid w:val="00894154"/>
    <w:rsid w:val="00894A88"/>
    <w:rsid w:val="00895386"/>
    <w:rsid w:val="008962EF"/>
    <w:rsid w:val="00896D36"/>
    <w:rsid w:val="00896D3D"/>
    <w:rsid w:val="00896F5D"/>
    <w:rsid w:val="008976BB"/>
    <w:rsid w:val="008A00D7"/>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0E80"/>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3E4A"/>
    <w:rsid w:val="008E43DD"/>
    <w:rsid w:val="008E44B8"/>
    <w:rsid w:val="008E4ECF"/>
    <w:rsid w:val="008E52B3"/>
    <w:rsid w:val="008E5F79"/>
    <w:rsid w:val="008E69E7"/>
    <w:rsid w:val="008E7852"/>
    <w:rsid w:val="008E7A21"/>
    <w:rsid w:val="008F04D1"/>
    <w:rsid w:val="008F114C"/>
    <w:rsid w:val="008F19D0"/>
    <w:rsid w:val="008F1A7D"/>
    <w:rsid w:val="008F1EAB"/>
    <w:rsid w:val="008F2133"/>
    <w:rsid w:val="008F224B"/>
    <w:rsid w:val="008F27A1"/>
    <w:rsid w:val="008F2BC1"/>
    <w:rsid w:val="008F33DC"/>
    <w:rsid w:val="008F349E"/>
    <w:rsid w:val="008F34EA"/>
    <w:rsid w:val="008F35A1"/>
    <w:rsid w:val="008F3EA8"/>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A61"/>
    <w:rsid w:val="00905E82"/>
    <w:rsid w:val="009061DE"/>
    <w:rsid w:val="00906939"/>
    <w:rsid w:val="00906B7D"/>
    <w:rsid w:val="00906EC2"/>
    <w:rsid w:val="009075B9"/>
    <w:rsid w:val="00907E1E"/>
    <w:rsid w:val="0091039D"/>
    <w:rsid w:val="00910AD5"/>
    <w:rsid w:val="00910B7D"/>
    <w:rsid w:val="00910CDB"/>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7B4"/>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1C40"/>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354"/>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358"/>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A6F"/>
    <w:rsid w:val="009C5E8B"/>
    <w:rsid w:val="009C67BF"/>
    <w:rsid w:val="009C772C"/>
    <w:rsid w:val="009D0154"/>
    <w:rsid w:val="009D0305"/>
    <w:rsid w:val="009D0C5A"/>
    <w:rsid w:val="009D0C81"/>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202"/>
    <w:rsid w:val="00A07372"/>
    <w:rsid w:val="00A073CB"/>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1C6"/>
    <w:rsid w:val="00A61499"/>
    <w:rsid w:val="00A615A8"/>
    <w:rsid w:val="00A626D1"/>
    <w:rsid w:val="00A62962"/>
    <w:rsid w:val="00A62A77"/>
    <w:rsid w:val="00A62ECE"/>
    <w:rsid w:val="00A63285"/>
    <w:rsid w:val="00A63483"/>
    <w:rsid w:val="00A63594"/>
    <w:rsid w:val="00A6363A"/>
    <w:rsid w:val="00A643E5"/>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4E"/>
    <w:rsid w:val="00A75BED"/>
    <w:rsid w:val="00A761D4"/>
    <w:rsid w:val="00A764CE"/>
    <w:rsid w:val="00A76D00"/>
    <w:rsid w:val="00A7763F"/>
    <w:rsid w:val="00A77BEA"/>
    <w:rsid w:val="00A77EC4"/>
    <w:rsid w:val="00A77FC1"/>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45C"/>
    <w:rsid w:val="00A916C9"/>
    <w:rsid w:val="00A91C0A"/>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C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71BE"/>
    <w:rsid w:val="00AE79A3"/>
    <w:rsid w:val="00AE7F5A"/>
    <w:rsid w:val="00AF0375"/>
    <w:rsid w:val="00AF05C6"/>
    <w:rsid w:val="00AF07B8"/>
    <w:rsid w:val="00AF0BFA"/>
    <w:rsid w:val="00AF13F7"/>
    <w:rsid w:val="00AF1B7A"/>
    <w:rsid w:val="00AF1C5D"/>
    <w:rsid w:val="00AF1E5E"/>
    <w:rsid w:val="00AF245A"/>
    <w:rsid w:val="00AF26B5"/>
    <w:rsid w:val="00AF27A3"/>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61D"/>
    <w:rsid w:val="00B10B9A"/>
    <w:rsid w:val="00B10EBA"/>
    <w:rsid w:val="00B114CE"/>
    <w:rsid w:val="00B1177D"/>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1457"/>
    <w:rsid w:val="00B32293"/>
    <w:rsid w:val="00B3237E"/>
    <w:rsid w:val="00B323DB"/>
    <w:rsid w:val="00B330A2"/>
    <w:rsid w:val="00B33744"/>
    <w:rsid w:val="00B33AC2"/>
    <w:rsid w:val="00B33D5E"/>
    <w:rsid w:val="00B3431C"/>
    <w:rsid w:val="00B350F9"/>
    <w:rsid w:val="00B35DA0"/>
    <w:rsid w:val="00B369AD"/>
    <w:rsid w:val="00B37066"/>
    <w:rsid w:val="00B372AA"/>
    <w:rsid w:val="00B3744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B4F"/>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56C4"/>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02DE"/>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2F3"/>
    <w:rsid w:val="00C3666A"/>
    <w:rsid w:val="00C3719D"/>
    <w:rsid w:val="00C37CC3"/>
    <w:rsid w:val="00C40679"/>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47F76"/>
    <w:rsid w:val="00C5024E"/>
    <w:rsid w:val="00C50794"/>
    <w:rsid w:val="00C51201"/>
    <w:rsid w:val="00C51FCF"/>
    <w:rsid w:val="00C52115"/>
    <w:rsid w:val="00C5222C"/>
    <w:rsid w:val="00C52454"/>
    <w:rsid w:val="00C52B22"/>
    <w:rsid w:val="00C5392E"/>
    <w:rsid w:val="00C54272"/>
    <w:rsid w:val="00C54995"/>
    <w:rsid w:val="00C54D41"/>
    <w:rsid w:val="00C5511B"/>
    <w:rsid w:val="00C553FE"/>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6F"/>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4EBA"/>
    <w:rsid w:val="00C95477"/>
    <w:rsid w:val="00C9576F"/>
    <w:rsid w:val="00C95B40"/>
    <w:rsid w:val="00C97A23"/>
    <w:rsid w:val="00CA051D"/>
    <w:rsid w:val="00CA0590"/>
    <w:rsid w:val="00CA093B"/>
    <w:rsid w:val="00CA0BE6"/>
    <w:rsid w:val="00CA12D1"/>
    <w:rsid w:val="00CA147B"/>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5AC"/>
    <w:rsid w:val="00CA6704"/>
    <w:rsid w:val="00CA680B"/>
    <w:rsid w:val="00CA71A6"/>
    <w:rsid w:val="00CB0346"/>
    <w:rsid w:val="00CB0CC7"/>
    <w:rsid w:val="00CB0F60"/>
    <w:rsid w:val="00CB1678"/>
    <w:rsid w:val="00CB1F63"/>
    <w:rsid w:val="00CB1FB1"/>
    <w:rsid w:val="00CB212B"/>
    <w:rsid w:val="00CB2777"/>
    <w:rsid w:val="00CB3119"/>
    <w:rsid w:val="00CB4452"/>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1D"/>
    <w:rsid w:val="00CD59BB"/>
    <w:rsid w:val="00CD641B"/>
    <w:rsid w:val="00CD66EE"/>
    <w:rsid w:val="00CD7C8E"/>
    <w:rsid w:val="00CD7DDB"/>
    <w:rsid w:val="00CE03E7"/>
    <w:rsid w:val="00CE0424"/>
    <w:rsid w:val="00CE2431"/>
    <w:rsid w:val="00CE2B7C"/>
    <w:rsid w:val="00CE35CD"/>
    <w:rsid w:val="00CE3D23"/>
    <w:rsid w:val="00CE3D56"/>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4D19"/>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21B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BBB"/>
    <w:rsid w:val="00D652B5"/>
    <w:rsid w:val="00D65542"/>
    <w:rsid w:val="00D65D99"/>
    <w:rsid w:val="00D65EDE"/>
    <w:rsid w:val="00D66155"/>
    <w:rsid w:val="00D6688D"/>
    <w:rsid w:val="00D668F9"/>
    <w:rsid w:val="00D708B0"/>
    <w:rsid w:val="00D70E73"/>
    <w:rsid w:val="00D70FFA"/>
    <w:rsid w:val="00D7135D"/>
    <w:rsid w:val="00D729E1"/>
    <w:rsid w:val="00D72F69"/>
    <w:rsid w:val="00D73295"/>
    <w:rsid w:val="00D73C50"/>
    <w:rsid w:val="00D75072"/>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0EF9"/>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5D5"/>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272B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10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355A"/>
    <w:rsid w:val="00EE4992"/>
    <w:rsid w:val="00EE5B28"/>
    <w:rsid w:val="00EE7F85"/>
    <w:rsid w:val="00EF0877"/>
    <w:rsid w:val="00EF08AA"/>
    <w:rsid w:val="00EF1162"/>
    <w:rsid w:val="00EF157F"/>
    <w:rsid w:val="00EF18FE"/>
    <w:rsid w:val="00EF1DC6"/>
    <w:rsid w:val="00EF26FA"/>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3D2"/>
    <w:rsid w:val="00F01B90"/>
    <w:rsid w:val="00F0256E"/>
    <w:rsid w:val="00F02A9D"/>
    <w:rsid w:val="00F02ECC"/>
    <w:rsid w:val="00F04333"/>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1D41"/>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93D"/>
    <w:rsid w:val="00F32BB8"/>
    <w:rsid w:val="00F33F93"/>
    <w:rsid w:val="00F34438"/>
    <w:rsid w:val="00F355E7"/>
    <w:rsid w:val="00F35928"/>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14"/>
    <w:rsid w:val="00F669B5"/>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752"/>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9F4"/>
    <w:rsid w:val="00FD5F63"/>
    <w:rsid w:val="00FD6FFF"/>
    <w:rsid w:val="00FD74DB"/>
    <w:rsid w:val="00FD7642"/>
    <w:rsid w:val="00FD7660"/>
    <w:rsid w:val="00FE0655"/>
    <w:rsid w:val="00FE1323"/>
    <w:rsid w:val="00FE1495"/>
    <w:rsid w:val="00FE18B1"/>
    <w:rsid w:val="00FE1E40"/>
    <w:rsid w:val="00FE2001"/>
    <w:rsid w:val="00FE20E2"/>
    <w:rsid w:val="00FE2365"/>
    <w:rsid w:val="00FE2DCF"/>
    <w:rsid w:val="00FE4905"/>
    <w:rsid w:val="00FE4AF4"/>
    <w:rsid w:val="00FE4C7B"/>
    <w:rsid w:val="00FE4CAF"/>
    <w:rsid w:val="00FE5670"/>
    <w:rsid w:val="00FE5726"/>
    <w:rsid w:val="00FE5D84"/>
    <w:rsid w:val="00FE7336"/>
    <w:rsid w:val="00FE787C"/>
    <w:rsid w:val="00FF0767"/>
    <w:rsid w:val="00FF0893"/>
    <w:rsid w:val="00FF111F"/>
    <w:rsid w:val="00FF180F"/>
    <w:rsid w:val="00FF1984"/>
    <w:rsid w:val="00FF1CA1"/>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qFormat/>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office/2006/documentManagement/types"/>
    <ds:schemaRef ds:uri="http://purl.org/dc/terms/"/>
    <ds:schemaRef ds:uri="http://purl.org/dc/dcmitype/"/>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DBC094D4-356E-46E8-9CC0-61A0A885B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3809</TotalTime>
  <Pages>2</Pages>
  <Words>1138</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6913</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592</cp:revision>
  <cp:lastPrinted>2018-04-05T01:02:00Z</cp:lastPrinted>
  <dcterms:created xsi:type="dcterms:W3CDTF">2019-10-04T22:50:00Z</dcterms:created>
  <dcterms:modified xsi:type="dcterms:W3CDTF">2020-05-29T06:53:00Z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